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5" w:type="dxa"/>
        <w:tblCellMar>
          <w:left w:w="10" w:type="dxa"/>
          <w:right w:w="10" w:type="dxa"/>
        </w:tblCellMar>
        <w:tblLook w:val="04A0" w:firstRow="1" w:lastRow="0" w:firstColumn="1" w:lastColumn="0" w:noHBand="0" w:noVBand="1"/>
      </w:tblPr>
      <w:tblGrid>
        <w:gridCol w:w="3650"/>
        <w:gridCol w:w="5895"/>
      </w:tblGrid>
      <w:tr w:rsidR="00544B79" w:rsidRPr="00544B79" w:rsidTr="00E87593">
        <w:trPr>
          <w:trHeight w:val="710"/>
        </w:trPr>
        <w:tc>
          <w:tcPr>
            <w:tcW w:w="3650" w:type="dxa"/>
            <w:tcMar>
              <w:top w:w="120" w:type="dxa"/>
              <w:left w:w="0" w:type="dxa"/>
              <w:bottom w:w="80" w:type="dxa"/>
              <w:right w:w="0" w:type="dxa"/>
            </w:tcMar>
          </w:tcPr>
          <w:p w:rsidR="00544B79" w:rsidRPr="00B60251" w:rsidRDefault="00B60251" w:rsidP="00544B79">
            <w:pPr>
              <w:jc w:val="center"/>
              <w:rPr>
                <w:bCs/>
              </w:rPr>
            </w:pPr>
            <w:bookmarkStart w:id="0" w:name="_GoBack"/>
            <w:bookmarkEnd w:id="0"/>
            <w:r w:rsidRPr="00B60251">
              <w:rPr>
                <w:bCs/>
              </w:rPr>
              <w:t>UBND THÀNH PHỐ HÀ NỘI</w:t>
            </w:r>
          </w:p>
          <w:p w:rsidR="00544B79" w:rsidRPr="00544B79" w:rsidRDefault="00B60251" w:rsidP="00544B79">
            <w:pPr>
              <w:jc w:val="center"/>
              <w:rPr>
                <w:sz w:val="28"/>
                <w:szCs w:val="28"/>
              </w:rPr>
            </w:pPr>
            <w:r>
              <w:rPr>
                <w:b/>
                <w:bCs/>
                <w:sz w:val="28"/>
                <w:szCs w:val="28"/>
              </w:rPr>
              <w:t>SỞ TÀI CHÍNH</w:t>
            </w:r>
          </w:p>
          <w:p w:rsidR="00544B79" w:rsidRPr="00544B79" w:rsidRDefault="00EE51E4" w:rsidP="0076418E">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102CB294" wp14:editId="1DCB95F5">
                      <wp:simplePos x="0" y="0"/>
                      <wp:positionH relativeFrom="column">
                        <wp:posOffset>867590</wp:posOffset>
                      </wp:positionH>
                      <wp:positionV relativeFrom="paragraph">
                        <wp:posOffset>27694</wp:posOffset>
                      </wp:positionV>
                      <wp:extent cx="702978"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702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254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3pt,2.2pt" to="12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" strokecolor="black [3200]" strokeweight=".5pt">
                      <v:stroke joinstyle="miter"/>
                    </v:line>
                  </w:pict>
                </mc:Fallback>
              </mc:AlternateContent>
            </w:r>
          </w:p>
        </w:tc>
        <w:tc>
          <w:tcPr>
            <w:tcW w:w="5895" w:type="dxa"/>
            <w:tcMar>
              <w:top w:w="120" w:type="dxa"/>
              <w:left w:w="0" w:type="dxa"/>
              <w:bottom w:w="80" w:type="dxa"/>
              <w:right w:w="0" w:type="dxa"/>
            </w:tcMar>
          </w:tcPr>
          <w:p w:rsidR="00544B79" w:rsidRPr="00EE51E4" w:rsidRDefault="00544B79" w:rsidP="00544B79">
            <w:pPr>
              <w:jc w:val="center"/>
            </w:pPr>
            <w:r w:rsidRPr="00EE51E4">
              <w:rPr>
                <w:b/>
                <w:bCs/>
              </w:rPr>
              <w:t>CỘNG HÒA XÃ HỘI CHỦ NGHĨA VIỆT NAM</w:t>
            </w:r>
          </w:p>
          <w:p w:rsidR="00544B79" w:rsidRPr="00544B79" w:rsidRDefault="00544B79" w:rsidP="00544B79">
            <w:pPr>
              <w:jc w:val="center"/>
              <w:rPr>
                <w:sz w:val="28"/>
                <w:szCs w:val="28"/>
              </w:rPr>
            </w:pPr>
            <w:r w:rsidRPr="00544B79">
              <w:rPr>
                <w:b/>
                <w:bCs/>
                <w:sz w:val="28"/>
                <w:szCs w:val="28"/>
              </w:rPr>
              <w:t>Độc lập - Tự do - Hạnh phúc</w:t>
            </w:r>
          </w:p>
          <w:p w:rsidR="00544B79" w:rsidRPr="00544B79" w:rsidRDefault="00EE51E4" w:rsidP="00544B79">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834122</wp:posOffset>
                      </wp:positionH>
                      <wp:positionV relativeFrom="paragraph">
                        <wp:posOffset>25051</wp:posOffset>
                      </wp:positionV>
                      <wp:extent cx="2135362"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2135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6E72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7pt,1.95pt" to="233.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" strokecolor="black [3200]" strokeweight=".5pt">
                      <v:stroke joinstyle="miter"/>
                    </v:line>
                  </w:pict>
                </mc:Fallback>
              </mc:AlternateContent>
            </w:r>
          </w:p>
        </w:tc>
      </w:tr>
      <w:tr w:rsidR="00544B79" w:rsidRPr="00544B79" w:rsidTr="00E87593">
        <w:trPr>
          <w:trHeight w:val="263"/>
        </w:trPr>
        <w:tc>
          <w:tcPr>
            <w:tcW w:w="3650" w:type="dxa"/>
          </w:tcPr>
          <w:p w:rsidR="00544B79" w:rsidRPr="00544B79" w:rsidRDefault="00544B79" w:rsidP="00EE51E4">
            <w:pPr>
              <w:jc w:val="center"/>
              <w:rPr>
                <w:sz w:val="28"/>
                <w:szCs w:val="28"/>
              </w:rPr>
            </w:pPr>
            <w:r w:rsidRPr="00544B79">
              <w:rPr>
                <w:sz w:val="28"/>
                <w:szCs w:val="28"/>
              </w:rPr>
              <w:t>Số:            /BC-STC</w:t>
            </w:r>
          </w:p>
        </w:tc>
        <w:tc>
          <w:tcPr>
            <w:tcW w:w="5895" w:type="dxa"/>
          </w:tcPr>
          <w:p w:rsidR="00544B79" w:rsidRPr="00544B79" w:rsidRDefault="00544B79" w:rsidP="00B425CC">
            <w:pPr>
              <w:jc w:val="center"/>
              <w:rPr>
                <w:sz w:val="28"/>
                <w:szCs w:val="28"/>
              </w:rPr>
            </w:pPr>
            <w:r w:rsidRPr="00544B79">
              <w:rPr>
                <w:i/>
                <w:iCs/>
                <w:sz w:val="28"/>
                <w:szCs w:val="28"/>
              </w:rPr>
              <w:t xml:space="preserve">Hà Nội, ngày       tháng </w:t>
            </w:r>
            <w:r w:rsidR="00B425CC">
              <w:rPr>
                <w:i/>
                <w:iCs/>
                <w:sz w:val="28"/>
                <w:szCs w:val="28"/>
              </w:rPr>
              <w:t xml:space="preserve">  </w:t>
            </w:r>
            <w:r w:rsidRPr="00544B79">
              <w:rPr>
                <w:i/>
                <w:iCs/>
                <w:sz w:val="28"/>
                <w:szCs w:val="28"/>
              </w:rPr>
              <w:t xml:space="preserve"> năm 2026</w:t>
            </w:r>
          </w:p>
        </w:tc>
      </w:tr>
    </w:tbl>
    <w:p w:rsidR="00AC34F2" w:rsidRDefault="00AC34F2">
      <w:pPr>
        <w:spacing w:after="60" w:line="360" w:lineRule="auto"/>
        <w:jc w:val="both"/>
      </w:pPr>
    </w:p>
    <w:p w:rsidR="00AC34F2" w:rsidRPr="00544B79" w:rsidRDefault="006B0E1E" w:rsidP="00A0427A">
      <w:pPr>
        <w:spacing w:before="60"/>
        <w:jc w:val="center"/>
        <w:rPr>
          <w:sz w:val="28"/>
          <w:szCs w:val="28"/>
        </w:rPr>
      </w:pPr>
      <w:r w:rsidRPr="00544B79">
        <w:rPr>
          <w:b/>
          <w:bCs/>
          <w:color w:val="000000"/>
          <w:sz w:val="28"/>
          <w:szCs w:val="28"/>
        </w:rPr>
        <w:t>BÁO CÁO</w:t>
      </w:r>
    </w:p>
    <w:p w:rsidR="00AC34F2" w:rsidRPr="00544B79" w:rsidRDefault="00544B79" w:rsidP="00A0427A">
      <w:pPr>
        <w:spacing w:before="60"/>
        <w:jc w:val="center"/>
        <w:rPr>
          <w:rFonts w:ascii="Times New Roman Bold" w:hAnsi="Times New Roman Bold"/>
          <w:spacing w:val="-4"/>
          <w:sz w:val="28"/>
          <w:szCs w:val="28"/>
        </w:rPr>
      </w:pPr>
      <w:r w:rsidRPr="00544B79">
        <w:rPr>
          <w:rFonts w:ascii="Times New Roman Bold" w:hAnsi="Times New Roman Bold"/>
          <w:b/>
          <w:bCs/>
          <w:spacing w:val="-4"/>
          <w:sz w:val="28"/>
          <w:szCs w:val="28"/>
        </w:rPr>
        <w:t>Đánh giá tác động của chính sách trong dự thảo Nghị quyết</w:t>
      </w:r>
      <w:r w:rsidRPr="00544B79">
        <w:rPr>
          <w:rFonts w:ascii="Times New Roman Bold" w:hAnsi="Times New Roman Bold"/>
          <w:spacing w:val="-4"/>
          <w:sz w:val="28"/>
          <w:szCs w:val="28"/>
        </w:rPr>
        <w:t xml:space="preserve"> </w:t>
      </w:r>
      <w:r w:rsidR="00F66229">
        <w:rPr>
          <w:rFonts w:ascii="Times New Roman Bold" w:hAnsi="Times New Roman Bold"/>
          <w:b/>
          <w:bCs/>
          <w:spacing w:val="-4"/>
          <w:sz w:val="28"/>
          <w:szCs w:val="28"/>
        </w:rPr>
        <w:t>q</w:t>
      </w:r>
      <w:r w:rsidR="00F66229" w:rsidRPr="00F66229">
        <w:rPr>
          <w:rFonts w:ascii="Times New Roman Bold" w:hAnsi="Times New Roman Bold"/>
          <w:b/>
          <w:bCs/>
          <w:spacing w:val="-4"/>
          <w:sz w:val="28"/>
          <w:szCs w:val="28"/>
        </w:rPr>
        <w:t>uy định về quyết định, chấp thuận chủ trương đầu tư và điều chỉnh chủ trương đầu tư; lựa chọn nhà đầu tư, nhà thầu trong trường hợp đặc biệt; việc xác định dự án cần triển khai ng</w:t>
      </w:r>
      <w:r w:rsidR="00F66229">
        <w:rPr>
          <w:rFonts w:ascii="Times New Roman Bold" w:hAnsi="Times New Roman Bold"/>
          <w:b/>
          <w:bCs/>
          <w:spacing w:val="-4"/>
          <w:sz w:val="28"/>
          <w:szCs w:val="28"/>
        </w:rPr>
        <w:t>ay trên địa bàn thành phố Hà Nộ</w:t>
      </w:r>
      <w:r w:rsidRPr="00544B79">
        <w:rPr>
          <w:rFonts w:ascii="Times New Roman Bold" w:hAnsi="Times New Roman Bold"/>
          <w:b/>
          <w:bCs/>
          <w:spacing w:val="-4"/>
          <w:sz w:val="28"/>
          <w:szCs w:val="28"/>
        </w:rPr>
        <w:t>i</w:t>
      </w:r>
    </w:p>
    <w:p w:rsidR="00AC34F2" w:rsidRDefault="006B0E1E" w:rsidP="00A0427A">
      <w:pPr>
        <w:spacing w:before="60"/>
        <w:jc w:val="center"/>
        <w:rPr>
          <w:i/>
          <w:iCs/>
          <w:color w:val="000000"/>
          <w:sz w:val="28"/>
          <w:szCs w:val="28"/>
        </w:rPr>
      </w:pPr>
      <w:r w:rsidRPr="00544B79">
        <w:rPr>
          <w:i/>
          <w:iCs/>
          <w:color w:val="000000"/>
          <w:sz w:val="28"/>
          <w:szCs w:val="28"/>
        </w:rPr>
        <w:t>(Thực hiện điểm a, b, d khoản 5 Điều 22 của Luật Thủ đô số 02/2026/QH16)</w:t>
      </w:r>
    </w:p>
    <w:p w:rsidR="00A0427A" w:rsidRPr="00544B79" w:rsidRDefault="00A0427A" w:rsidP="00A0427A">
      <w:pPr>
        <w:spacing w:before="60"/>
        <w:jc w:val="center"/>
        <w:rPr>
          <w:sz w:val="28"/>
          <w:szCs w:val="28"/>
        </w:rPr>
      </w:pPr>
    </w:p>
    <w:p w:rsidR="00AC34F2" w:rsidRPr="00544B79" w:rsidRDefault="006B0E1E" w:rsidP="00A0427A">
      <w:pPr>
        <w:spacing w:before="60"/>
        <w:ind w:firstLine="720"/>
        <w:jc w:val="both"/>
        <w:rPr>
          <w:sz w:val="28"/>
          <w:szCs w:val="28"/>
        </w:rPr>
      </w:pPr>
      <w:r w:rsidRPr="00544B79">
        <w:rPr>
          <w:color w:val="000000"/>
          <w:sz w:val="28"/>
          <w:szCs w:val="28"/>
        </w:rPr>
        <w:t xml:space="preserve">Thực hiện Luật Ban hành văn bản quy phạm pháp luật số 64/2025/QH15 ngày 19/02/2025 của Quốc hội (được sửa đổi, bổ sung bởi Luật số 87/2025/QH15 ngày 25/6/2025) và Nghị định số 78/2025/NĐ-CP ngày 01/4/2025 của Chính phủ; căn cứ Điều 4, khoản 3 Điều 8 Luật Thủ đô số 02/2026/QH16 và Điều 6 Nghị quyết số 05/2026/NQ-HĐND của Hội đồng nhân dân thành phố Hà Nội, Sở Tài chính thành phố Hà Nội xây dựng Báo cáo đánh giá tác động của các chính sách trong dự thảo Nghị quyết của Hội đồng nhân dân thành phố Hà Nội </w:t>
      </w:r>
      <w:r w:rsidR="007E6B63">
        <w:rPr>
          <w:color w:val="000000"/>
          <w:sz w:val="28"/>
          <w:szCs w:val="28"/>
        </w:rPr>
        <w:t>q</w:t>
      </w:r>
      <w:r w:rsidR="007E6B63" w:rsidRPr="007E6B63">
        <w:rPr>
          <w:color w:val="000000"/>
          <w:sz w:val="28"/>
          <w:szCs w:val="28"/>
        </w:rPr>
        <w:t xml:space="preserve">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 </w:t>
      </w:r>
      <w:r w:rsidR="007E6B63">
        <w:rPr>
          <w:color w:val="000000"/>
          <w:sz w:val="28"/>
          <w:szCs w:val="28"/>
        </w:rPr>
        <w:t>(Thực hiện điểm a,b,</w:t>
      </w:r>
      <w:r w:rsidRPr="00544B79">
        <w:rPr>
          <w:color w:val="000000"/>
          <w:sz w:val="28"/>
          <w:szCs w:val="28"/>
        </w:rPr>
        <w:t>d khoản 5 Điều 22 Luật Thủ đô năm 2026). Kết quả như sau:</w:t>
      </w:r>
    </w:p>
    <w:p w:rsidR="00AC34F2" w:rsidRPr="00544B79" w:rsidRDefault="006B0E1E" w:rsidP="00A0427A">
      <w:pPr>
        <w:spacing w:before="60"/>
        <w:ind w:firstLine="709"/>
        <w:rPr>
          <w:sz w:val="28"/>
          <w:szCs w:val="28"/>
        </w:rPr>
      </w:pPr>
      <w:r w:rsidRPr="00544B79">
        <w:rPr>
          <w:b/>
          <w:bCs/>
          <w:color w:val="000000"/>
          <w:sz w:val="28"/>
          <w:szCs w:val="28"/>
        </w:rPr>
        <w:t>I. XÁC ĐỊNH VẤN ĐỀ</w:t>
      </w:r>
    </w:p>
    <w:p w:rsidR="00AC34F2" w:rsidRPr="00544B79" w:rsidRDefault="006B0E1E" w:rsidP="00A0427A">
      <w:pPr>
        <w:spacing w:before="60"/>
        <w:ind w:firstLine="709"/>
        <w:rPr>
          <w:sz w:val="28"/>
          <w:szCs w:val="28"/>
        </w:rPr>
      </w:pPr>
      <w:r w:rsidRPr="00544B79">
        <w:rPr>
          <w:b/>
          <w:bCs/>
          <w:color w:val="000000"/>
          <w:sz w:val="28"/>
          <w:szCs w:val="28"/>
        </w:rPr>
        <w:t>1. Bối cảnh xây dựng chính sách</w:t>
      </w:r>
    </w:p>
    <w:p w:rsidR="00AC34F2" w:rsidRPr="00544B79" w:rsidRDefault="006B0E1E" w:rsidP="00A0427A">
      <w:pPr>
        <w:spacing w:before="60"/>
        <w:ind w:firstLine="720"/>
        <w:jc w:val="both"/>
        <w:rPr>
          <w:sz w:val="28"/>
          <w:szCs w:val="28"/>
        </w:rPr>
      </w:pPr>
      <w:r w:rsidRPr="00544B79">
        <w:rPr>
          <w:color w:val="000000"/>
          <w:sz w:val="28"/>
          <w:szCs w:val="28"/>
        </w:rPr>
        <w:t>Luật Thủ đô số 02/2026/QH16 được Quốc hội khóa XVI thông qua ngày 23/4/2026, có hiệu lực từ ngày 01/7/2026, đã thiết lập khuôn khổ pháp lý mới với nhiều cơ chế, chính sách đặc thù, phân quyền mạnh mẽ cho chính quyền Thành phố Hà Nội trong quản lý đầu tư, phát triển đô thị. Điều 22 khoản 5 Luật Thủ đô giao Hội đồng nhân dân Thành phố quy định chi tiết về hồ sơ, nội dung thẩm định, trình tự, thủ tục quyết định, chấp thuận chủ trương đầu tư và điều chỉnh chủ trương đầu tư (điểm a); tiêu chí, điều kiện, trình tự, thủ tục lựa chọn nhà đầu tư, nhà thầu trong trường hợp đặc biệt (điểm b); tiêu chí, điều kiện, trình tự, thủ tục xác định dự án cần triển khai ngay (điểm d). Đây là nội dung cốt lõi, có phạm vi tác động rộng, liên quan trực tiếp đến công tác quản lý nhà nước về đầu tư và môi trường thu hút đầu tư của Thủ đô.</w:t>
      </w:r>
    </w:p>
    <w:p w:rsidR="00AC34F2" w:rsidRPr="00544B79" w:rsidRDefault="006B0E1E" w:rsidP="00A0427A">
      <w:pPr>
        <w:spacing w:before="60"/>
        <w:ind w:firstLine="720"/>
        <w:jc w:val="both"/>
        <w:rPr>
          <w:sz w:val="28"/>
          <w:szCs w:val="28"/>
        </w:rPr>
      </w:pPr>
      <w:r w:rsidRPr="00544B79">
        <w:rPr>
          <w:color w:val="000000"/>
          <w:sz w:val="28"/>
          <w:szCs w:val="28"/>
        </w:rPr>
        <w:t xml:space="preserve">Nghị quyết số 31/2025/NQ-HĐND ngày 29/9/2025 của Hội đồng nhân dân thành phố Hà Nội về trình tự, thủ tục quyết định/chấp thuận chủ trương đầu tư đối với các dự án theo Luật Thủ đô năm 2024 sẽ hết hiệu lực kể từ thời điểm Luật Thủ đô năm 2026 có hiệu lực thi hành. Nếu không kịp thời ban hành quy định thay thế sẽ phát sinh khoảng trống pháp lý, gây gián đoạn trong tiếp nhận, thẩm </w:t>
      </w:r>
      <w:r w:rsidRPr="00544B79">
        <w:rPr>
          <w:color w:val="000000"/>
          <w:sz w:val="28"/>
          <w:szCs w:val="28"/>
        </w:rPr>
        <w:lastRenderedPageBreak/>
        <w:t>định và quyết định chủ trương đầu tư, ảnh hưởng đến tiến độ triển khai các dự án quan trọng của Thủ đô.</w:t>
      </w:r>
    </w:p>
    <w:p w:rsidR="00AC34F2" w:rsidRPr="00544B79" w:rsidRDefault="006B0E1E" w:rsidP="00A0427A">
      <w:pPr>
        <w:spacing w:before="60"/>
        <w:ind w:firstLine="720"/>
        <w:jc w:val="both"/>
        <w:rPr>
          <w:sz w:val="28"/>
          <w:szCs w:val="28"/>
        </w:rPr>
      </w:pPr>
      <w:r w:rsidRPr="00544B79">
        <w:rPr>
          <w:color w:val="000000"/>
          <w:sz w:val="28"/>
          <w:szCs w:val="28"/>
        </w:rPr>
        <w:t>Về bối cảnh thực tiễn: Hà Nội là đô thị đặc biệt với nhu cầu đầu tư cơ sở hạ tầng rất lớn, đòi hỏi cơ chế quyết định đầu tư linh hoạt, nhanh chóng. Thực tiễn tại nhiều dự án quan trọng cho thấy các thủ tục hiện hành còn kéo dài, nhiều tầng nấc, thiếu cơ chế phối hợp liên ngành hiệu quả; cần cải cách mạnh mẽ để phù hợp với yêu cầu phát triển nhanh, bền vững trong giai đoạn mới. Việc ban hành Nghị quyết cũng là nhiệm vụ đã được xác định tại Kế hoạch số 177/KH-UBND ngày 01/5/2026 của UBND Thành phố về tổ chức thi hành Luật Thủ đô.</w:t>
      </w:r>
    </w:p>
    <w:p w:rsidR="00AC34F2" w:rsidRPr="00544B79" w:rsidRDefault="006B0E1E" w:rsidP="00A0427A">
      <w:pPr>
        <w:spacing w:before="60"/>
        <w:ind w:firstLine="720"/>
        <w:jc w:val="both"/>
        <w:rPr>
          <w:spacing w:val="-4"/>
          <w:sz w:val="28"/>
          <w:szCs w:val="28"/>
        </w:rPr>
      </w:pPr>
      <w:r w:rsidRPr="00544B79">
        <w:rPr>
          <w:color w:val="000000"/>
          <w:spacing w:val="-4"/>
          <w:sz w:val="28"/>
          <w:szCs w:val="28"/>
        </w:rPr>
        <w:t>Về căn cứ pháp lý: Điều 4 và khoản 3 Điều 8 Luật Thủ đô số 02/2026/QH16; Điều 6 Nghị quyết số 05/2026/NQ-HĐND; Mẫu số 03 kèm theo Nghị quyết số 05/2026/NQ-HĐND quy định nội dung, biểu mẫu xây dựng báo cáo đánh giá tác động chính sách. Báo cáo này được xây dựng theo đúng cấu trúc, nội dung yêu cầu tại biểu mẫu nêu trên.</w:t>
      </w:r>
    </w:p>
    <w:p w:rsidR="00AC34F2" w:rsidRPr="00544B79" w:rsidRDefault="006B0E1E" w:rsidP="00A0427A">
      <w:pPr>
        <w:spacing w:before="60"/>
        <w:ind w:firstLine="709"/>
        <w:rPr>
          <w:sz w:val="28"/>
          <w:szCs w:val="28"/>
        </w:rPr>
      </w:pPr>
      <w:r w:rsidRPr="00544B79">
        <w:rPr>
          <w:b/>
          <w:bCs/>
          <w:color w:val="000000"/>
          <w:sz w:val="28"/>
          <w:szCs w:val="28"/>
        </w:rPr>
        <w:t>2. Mục tiêu xây dựng chính sách</w:t>
      </w:r>
    </w:p>
    <w:p w:rsidR="00AC34F2" w:rsidRPr="00544B79" w:rsidRDefault="006B0E1E" w:rsidP="00A0427A">
      <w:pPr>
        <w:spacing w:before="60"/>
        <w:ind w:firstLine="709"/>
        <w:jc w:val="both"/>
        <w:rPr>
          <w:sz w:val="28"/>
          <w:szCs w:val="28"/>
        </w:rPr>
      </w:pPr>
      <w:r w:rsidRPr="00544B79">
        <w:rPr>
          <w:color w:val="000000"/>
          <w:sz w:val="28"/>
          <w:szCs w:val="28"/>
        </w:rPr>
        <w:t>- Cụ thể hóa thẩm quyền đặc thù của HĐND và UBND T</w:t>
      </w:r>
      <w:r w:rsidR="009708FA">
        <w:rPr>
          <w:color w:val="000000"/>
          <w:sz w:val="28"/>
          <w:szCs w:val="28"/>
        </w:rPr>
        <w:t>hành phố Hà Nội theo điểm a,b,</w:t>
      </w:r>
      <w:r w:rsidRPr="00544B79">
        <w:rPr>
          <w:color w:val="000000"/>
          <w:sz w:val="28"/>
          <w:szCs w:val="28"/>
        </w:rPr>
        <w:t>d khoản 5 Điều 22 Luật Thủ đô 2026, tạo lập hành lang pháp lý đồng bộ, thống nhất cho hoạt động quyết định, chấp thuận chủ trương đầu tư và điều chỉnh chủ trương đầu tư trên địa bàn Thành phố.</w:t>
      </w:r>
    </w:p>
    <w:p w:rsidR="00AC34F2" w:rsidRPr="00544B79" w:rsidRDefault="006B0E1E" w:rsidP="00A0427A">
      <w:pPr>
        <w:spacing w:before="60"/>
        <w:ind w:firstLine="709"/>
        <w:jc w:val="both"/>
        <w:rPr>
          <w:sz w:val="28"/>
          <w:szCs w:val="28"/>
        </w:rPr>
      </w:pPr>
      <w:r w:rsidRPr="00544B79">
        <w:rPr>
          <w:color w:val="000000"/>
          <w:sz w:val="28"/>
          <w:szCs w:val="28"/>
        </w:rPr>
        <w:t>- Rút ngắn và đơn giản hóa quy trình quyết định/chấp thuận chủ trương đầu tư đối với các dự án đầu tư công, PPP, dự án theo Luật Đầu tư và dự án thu hút nhà đầu tư chiến lược; giảm thiểu thời gian, chi phí tuân thủ cho tổ chức, cá nhân; áp dụng cơ chế lấy ý kiến liên thông, đồng thời giữa các cơ quan, rút ngắn thời hạn từ 02 đến 03 ngày làm việc.</w:t>
      </w:r>
    </w:p>
    <w:p w:rsidR="00AC34F2" w:rsidRPr="00544B79" w:rsidRDefault="006B0E1E" w:rsidP="00A0427A">
      <w:pPr>
        <w:spacing w:before="60"/>
        <w:ind w:firstLine="709"/>
        <w:jc w:val="both"/>
        <w:rPr>
          <w:sz w:val="28"/>
          <w:szCs w:val="28"/>
        </w:rPr>
      </w:pPr>
      <w:r w:rsidRPr="00544B79">
        <w:rPr>
          <w:color w:val="000000"/>
          <w:sz w:val="28"/>
          <w:szCs w:val="28"/>
        </w:rPr>
        <w:t>- Bảo đảm kiểm soát chặt chẽ việc sử dụng vốn nhà nước; phòng chống tham nhũng, lãng phí; bảo đảm quốc phòng, an ninh và bảo vệ môi trường trong quá trình quyết định đầu tư.</w:t>
      </w:r>
    </w:p>
    <w:p w:rsidR="00AC34F2" w:rsidRPr="00544B79" w:rsidRDefault="006B0E1E" w:rsidP="00A0427A">
      <w:pPr>
        <w:spacing w:before="60"/>
        <w:ind w:firstLine="709"/>
        <w:jc w:val="both"/>
        <w:rPr>
          <w:sz w:val="28"/>
          <w:szCs w:val="28"/>
        </w:rPr>
      </w:pPr>
      <w:r w:rsidRPr="00544B79">
        <w:rPr>
          <w:color w:val="000000"/>
          <w:sz w:val="28"/>
          <w:szCs w:val="28"/>
        </w:rPr>
        <w:t>- Thúc đẩy cải cách thủ tục hành chính, ứng dụng công nghệ thông tin trong tiếp nhận và xử lý hồ sơ; tăng cường tính minh bạch, trách nhiệm giải trình.</w:t>
      </w:r>
    </w:p>
    <w:p w:rsidR="00AC34F2" w:rsidRPr="00544B79" w:rsidRDefault="006B0E1E" w:rsidP="00A0427A">
      <w:pPr>
        <w:spacing w:before="60"/>
        <w:ind w:firstLine="709"/>
        <w:rPr>
          <w:sz w:val="28"/>
          <w:szCs w:val="28"/>
        </w:rPr>
      </w:pPr>
      <w:r w:rsidRPr="00544B79">
        <w:rPr>
          <w:b/>
          <w:bCs/>
          <w:color w:val="000000"/>
          <w:sz w:val="28"/>
          <w:szCs w:val="28"/>
        </w:rPr>
        <w:t>3. Xác định các vấn đề cần giải quyết</w:t>
      </w:r>
    </w:p>
    <w:p w:rsidR="00AC34F2" w:rsidRPr="006B5B80" w:rsidRDefault="006B0E1E" w:rsidP="00A0427A">
      <w:pPr>
        <w:spacing w:before="60"/>
        <w:ind w:firstLine="720"/>
        <w:jc w:val="both"/>
        <w:rPr>
          <w:spacing w:val="-4"/>
          <w:sz w:val="28"/>
          <w:szCs w:val="28"/>
        </w:rPr>
      </w:pPr>
      <w:r w:rsidRPr="006B5B80">
        <w:rPr>
          <w:color w:val="000000"/>
          <w:spacing w:val="-4"/>
          <w:sz w:val="28"/>
          <w:szCs w:val="28"/>
        </w:rPr>
        <w:t>Qua tổng kết việc thi hành các quy định pháp luật về quyết định, chấp thuận chủ trương đầu tư trên địa bàn Thành phố, các vấn đề chính cần giải quyết bao gồm:</w:t>
      </w:r>
    </w:p>
    <w:p w:rsidR="00AC34F2" w:rsidRPr="00544B79" w:rsidRDefault="006B0E1E" w:rsidP="00A0427A">
      <w:pPr>
        <w:spacing w:before="60"/>
        <w:ind w:firstLine="709"/>
        <w:jc w:val="both"/>
        <w:rPr>
          <w:sz w:val="28"/>
          <w:szCs w:val="28"/>
        </w:rPr>
      </w:pPr>
      <w:r w:rsidRPr="00544B79">
        <w:rPr>
          <w:color w:val="000000"/>
          <w:sz w:val="28"/>
          <w:szCs w:val="28"/>
        </w:rPr>
        <w:t>- Khoảng trống pháp lý: Nghị quyết số 31/2025/NQ-HĐND hết hiệu lực từ 01/7/2026 khi Luật Thủ đô mới có hiệu lực, cần văn bản thay thế ngay để không gián đoạn quy trình thẩm định, quyết định chủ trương đầu tư.</w:t>
      </w:r>
    </w:p>
    <w:p w:rsidR="00AC34F2" w:rsidRDefault="006B0E1E" w:rsidP="00A0427A">
      <w:pPr>
        <w:spacing w:before="60"/>
        <w:ind w:firstLine="709"/>
        <w:jc w:val="both"/>
        <w:rPr>
          <w:color w:val="000000"/>
          <w:sz w:val="28"/>
          <w:szCs w:val="28"/>
        </w:rPr>
      </w:pPr>
      <w:r w:rsidRPr="00544B79">
        <w:rPr>
          <w:color w:val="000000"/>
          <w:sz w:val="28"/>
          <w:szCs w:val="28"/>
        </w:rPr>
        <w:t xml:space="preserve">- </w:t>
      </w:r>
      <w:r w:rsidR="006B5B80">
        <w:rPr>
          <w:color w:val="000000"/>
          <w:sz w:val="28"/>
          <w:szCs w:val="28"/>
        </w:rPr>
        <w:t>C</w:t>
      </w:r>
      <w:r w:rsidRPr="00544B79">
        <w:rPr>
          <w:color w:val="000000"/>
          <w:sz w:val="28"/>
          <w:szCs w:val="28"/>
        </w:rPr>
        <w:t>hưa có quy định riêng, đặc thù về lựa chọn nhà đầu tư, nhà thầu trong trường hợp đặc biệt và xác định dự án cần triển khai ngay theo Luật Thủ đô 2026.</w:t>
      </w:r>
    </w:p>
    <w:p w:rsidR="0000427B" w:rsidRPr="0000427B" w:rsidRDefault="0000427B" w:rsidP="00A0427A">
      <w:pPr>
        <w:spacing w:before="60"/>
        <w:ind w:firstLine="709"/>
        <w:jc w:val="both"/>
        <w:rPr>
          <w:sz w:val="28"/>
          <w:szCs w:val="28"/>
        </w:rPr>
      </w:pPr>
      <w:r>
        <w:rPr>
          <w:sz w:val="28"/>
          <w:szCs w:val="28"/>
        </w:rPr>
        <w:t xml:space="preserve">- </w:t>
      </w:r>
      <w:r w:rsidRPr="0000427B">
        <w:rPr>
          <w:sz w:val="28"/>
          <w:szCs w:val="28"/>
        </w:rPr>
        <w:t>Một số quy định của pháp luật hiện hành còn chưa đáp ứng yêu cầu rút ngắn thời gian chuẩn bị đầu tư đối với các dự án lớn, quan trọng, dự án hạ tầng chiến lược, dự án có tính chất cấp bách hoặc cần triển khai đồng bộ để phục vụ yêu cầu phát triển kinh tế - xã hội của Thủ đô</w:t>
      </w:r>
      <w:r>
        <w:rPr>
          <w:sz w:val="28"/>
          <w:szCs w:val="28"/>
        </w:rPr>
        <w:t>.</w:t>
      </w:r>
    </w:p>
    <w:p w:rsidR="00AC34F2" w:rsidRPr="00544B79" w:rsidRDefault="006B0E1E" w:rsidP="00A0427A">
      <w:pPr>
        <w:spacing w:before="60"/>
        <w:ind w:firstLine="709"/>
        <w:rPr>
          <w:sz w:val="28"/>
          <w:szCs w:val="28"/>
        </w:rPr>
      </w:pPr>
      <w:r w:rsidRPr="00544B79">
        <w:rPr>
          <w:b/>
          <w:bCs/>
          <w:color w:val="000000"/>
          <w:sz w:val="28"/>
          <w:szCs w:val="28"/>
        </w:rPr>
        <w:t>II. ĐÁNH GIÁ TÁC ĐỘNG CỦA TỪNG CHÍNH SÁCH</w:t>
      </w:r>
    </w:p>
    <w:p w:rsidR="00AC34F2" w:rsidRPr="00544B79" w:rsidRDefault="006B0E1E" w:rsidP="00A0427A">
      <w:pPr>
        <w:spacing w:before="60"/>
        <w:ind w:firstLine="720"/>
        <w:jc w:val="both"/>
        <w:rPr>
          <w:sz w:val="28"/>
          <w:szCs w:val="28"/>
        </w:rPr>
      </w:pPr>
      <w:r w:rsidRPr="00544B79">
        <w:rPr>
          <w:b/>
          <w:bCs/>
          <w:color w:val="000000"/>
          <w:sz w:val="28"/>
          <w:szCs w:val="28"/>
        </w:rPr>
        <w:lastRenderedPageBreak/>
        <w:t>Chính sách 1: Quy định trình tự, thủ tục lập, thẩm định, quyết định/chấp thuận chủ trương đầu tư và điều chỉnh chủ trương đầu tư đối với dự án đầu tư công, dự án PPP, dự án theo Luật Đầu tư và dự án thu hút nhà đầu tư chiến lược (thực hiện điểm a khoản 5 Điều 22 Luật Thủ đô)</w:t>
      </w:r>
    </w:p>
    <w:p w:rsidR="00AC34F2" w:rsidRPr="00544B79" w:rsidRDefault="006B0E1E" w:rsidP="00A0427A">
      <w:pPr>
        <w:spacing w:before="60"/>
        <w:ind w:firstLine="720"/>
        <w:jc w:val="both"/>
        <w:rPr>
          <w:sz w:val="28"/>
          <w:szCs w:val="28"/>
        </w:rPr>
      </w:pPr>
      <w:r w:rsidRPr="00544B79">
        <w:rPr>
          <w:b/>
          <w:bCs/>
          <w:color w:val="000000"/>
          <w:sz w:val="28"/>
          <w:szCs w:val="28"/>
        </w:rPr>
        <w:t>1.1. Xác định vấn đề và các giải pháp lựa chọn</w:t>
      </w:r>
    </w:p>
    <w:p w:rsidR="00AC34F2" w:rsidRPr="00544B79" w:rsidRDefault="006B0E1E" w:rsidP="00A0427A">
      <w:pPr>
        <w:spacing w:before="60"/>
        <w:ind w:firstLine="720"/>
        <w:jc w:val="both"/>
        <w:rPr>
          <w:sz w:val="28"/>
          <w:szCs w:val="28"/>
        </w:rPr>
      </w:pPr>
      <w:r w:rsidRPr="00544B79">
        <w:rPr>
          <w:color w:val="000000"/>
          <w:sz w:val="28"/>
          <w:szCs w:val="28"/>
        </w:rPr>
        <w:t>Cơ chế quyết định, chấp thuận chủ trương đầu tư hiện hành còn bộc lộ bất cập: thời hạn thẩm định dài, thiếu quy định cụ thể về thành phần hồ sơ theo từng loại dự án, chưa có cơ chế lấy ý kiến song song (liên thông) giữa các cơ quan. Luật Thủ đô 2026 trao quyền cho HĐND Thành phố quy định chi tiết nội dung này; nếu không ban hành sẽ phát sinh khoảng trống pháp lý. Có hai giải pháp được xem xét:</w:t>
      </w:r>
    </w:p>
    <w:p w:rsidR="00AC34F2" w:rsidRPr="00544B79" w:rsidRDefault="006B0E1E" w:rsidP="00A0427A">
      <w:pPr>
        <w:spacing w:before="60"/>
        <w:ind w:firstLine="709"/>
        <w:jc w:val="both"/>
        <w:rPr>
          <w:sz w:val="28"/>
          <w:szCs w:val="28"/>
        </w:rPr>
      </w:pPr>
      <w:r w:rsidRPr="00544B79">
        <w:rPr>
          <w:color w:val="000000"/>
          <w:sz w:val="28"/>
          <w:szCs w:val="28"/>
        </w:rPr>
        <w:t>- Giải pháp 1 (không ban hành): Tiếp tục áp dụng quy trình chung theo Luật Đầu tư công, Luật PPP, Luật Đầu tư.</w:t>
      </w:r>
    </w:p>
    <w:p w:rsidR="00AC34F2" w:rsidRPr="00544B79" w:rsidRDefault="006B0E1E" w:rsidP="00A0427A">
      <w:pPr>
        <w:spacing w:before="60"/>
        <w:ind w:firstLine="709"/>
        <w:jc w:val="both"/>
        <w:rPr>
          <w:sz w:val="28"/>
          <w:szCs w:val="28"/>
        </w:rPr>
      </w:pPr>
      <w:r w:rsidRPr="00544B79">
        <w:rPr>
          <w:color w:val="000000"/>
          <w:sz w:val="28"/>
          <w:szCs w:val="28"/>
        </w:rPr>
        <w:t>- Giải pháp 2 (đề xuất): Ban hành Nghị quyết HĐND quy định chi tiết hồ sơ, nội dung thẩm định, trình tự, thủ tục theo thẩm quyền đặc thù tại điểm a khoản 5 Điều 22 Luật Thủ đô 2026.</w:t>
      </w:r>
    </w:p>
    <w:p w:rsidR="00AC34F2" w:rsidRPr="00544B79" w:rsidRDefault="006B0E1E" w:rsidP="00A0427A">
      <w:pPr>
        <w:spacing w:before="60"/>
        <w:ind w:firstLine="709"/>
        <w:jc w:val="both"/>
        <w:rPr>
          <w:sz w:val="28"/>
          <w:szCs w:val="28"/>
        </w:rPr>
      </w:pPr>
      <w:r w:rsidRPr="00544B79">
        <w:rPr>
          <w:b/>
          <w:bCs/>
          <w:color w:val="000000"/>
          <w:sz w:val="28"/>
          <w:szCs w:val="28"/>
        </w:rPr>
        <w:t>1.2. Đánh giá tác động hai giải pháp</w:t>
      </w:r>
    </w:p>
    <w:p w:rsidR="00AC34F2" w:rsidRPr="00544B79" w:rsidRDefault="006B0E1E" w:rsidP="00A0427A">
      <w:pPr>
        <w:spacing w:before="60"/>
        <w:ind w:firstLine="709"/>
        <w:jc w:val="both"/>
        <w:rPr>
          <w:sz w:val="28"/>
          <w:szCs w:val="28"/>
        </w:rPr>
      </w:pPr>
      <w:r w:rsidRPr="00544B79">
        <w:rPr>
          <w:color w:val="000000"/>
          <w:sz w:val="28"/>
          <w:szCs w:val="28"/>
        </w:rPr>
        <w:t>Bảng so sánh tác động Giải pháp 1 và Giải pháp 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2"/>
        <w:gridCol w:w="1471"/>
        <w:gridCol w:w="2835"/>
        <w:gridCol w:w="3928"/>
      </w:tblGrid>
      <w:tr w:rsidR="0067247D" w:rsidRPr="0067247D" w:rsidTr="00832524">
        <w:trPr>
          <w:tblHeader/>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67247D" w:rsidRDefault="006B0E1E" w:rsidP="00A0427A">
            <w:pPr>
              <w:spacing w:before="60"/>
              <w:jc w:val="center"/>
              <w:rPr>
                <w:color w:val="000000" w:themeColor="text1"/>
                <w:sz w:val="28"/>
                <w:szCs w:val="28"/>
              </w:rPr>
            </w:pPr>
            <w:r w:rsidRPr="0067247D">
              <w:rPr>
                <w:b/>
                <w:bCs/>
                <w:color w:val="000000" w:themeColor="text1"/>
                <w:sz w:val="28"/>
                <w:szCs w:val="28"/>
              </w:rPr>
              <w:t>STT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67247D" w:rsidRDefault="006B0E1E" w:rsidP="00A0427A">
            <w:pPr>
              <w:spacing w:before="60"/>
              <w:jc w:val="center"/>
              <w:rPr>
                <w:color w:val="000000" w:themeColor="text1"/>
                <w:sz w:val="28"/>
                <w:szCs w:val="28"/>
              </w:rPr>
            </w:pPr>
            <w:r w:rsidRPr="0067247D">
              <w:rPr>
                <w:b/>
                <w:bCs/>
                <w:color w:val="000000" w:themeColor="text1"/>
                <w:sz w:val="28"/>
                <w:szCs w:val="28"/>
              </w:rPr>
              <w:t>Tiêu chí đánh giá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0427A">
            <w:pPr>
              <w:spacing w:before="60"/>
              <w:jc w:val="center"/>
              <w:rPr>
                <w:rFonts w:ascii="Times New Roman Bold" w:hAnsi="Times New Roman Bold"/>
                <w:color w:val="000000" w:themeColor="text1"/>
                <w:spacing w:val="-8"/>
                <w:sz w:val="28"/>
                <w:szCs w:val="28"/>
              </w:rPr>
            </w:pPr>
            <w:r w:rsidRPr="00832524">
              <w:rPr>
                <w:rFonts w:ascii="Times New Roman Bold" w:hAnsi="Times New Roman Bold"/>
                <w:b/>
                <w:bCs/>
                <w:color w:val="000000" w:themeColor="text1"/>
                <w:spacing w:val="-8"/>
                <w:sz w:val="28"/>
                <w:szCs w:val="28"/>
              </w:rPr>
              <w:t>Giải pháp 1: Không ban hành (giữ nguyên quy định chung)</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67247D" w:rsidRDefault="006B0E1E" w:rsidP="00A0427A">
            <w:pPr>
              <w:spacing w:before="60"/>
              <w:jc w:val="center"/>
              <w:rPr>
                <w:color w:val="000000" w:themeColor="text1"/>
                <w:sz w:val="28"/>
                <w:szCs w:val="28"/>
              </w:rPr>
            </w:pPr>
            <w:r w:rsidRPr="0067247D">
              <w:rPr>
                <w:b/>
                <w:bCs/>
                <w:color w:val="000000" w:themeColor="text1"/>
                <w:sz w:val="28"/>
                <w:szCs w:val="28"/>
              </w:rPr>
              <w:t>Giải pháp 2: Ban hành Nghị quyết đặc thù (đề xuất)</w:t>
            </w:r>
          </w:p>
        </w:tc>
      </w:tr>
      <w:tr w:rsidR="0067247D" w:rsidRPr="0067247D"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center"/>
              <w:rPr>
                <w:color w:val="000000" w:themeColor="text1"/>
                <w:sz w:val="28"/>
                <w:szCs w:val="28"/>
              </w:rPr>
            </w:pPr>
            <w:r w:rsidRPr="0067247D">
              <w:rPr>
                <w:color w:val="000000" w:themeColor="text1"/>
                <w:sz w:val="28"/>
                <w:szCs w:val="28"/>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both"/>
              <w:rPr>
                <w:color w:val="000000" w:themeColor="text1"/>
                <w:sz w:val="28"/>
                <w:szCs w:val="28"/>
              </w:rPr>
            </w:pPr>
            <w:r w:rsidRPr="0067247D">
              <w:rPr>
                <w:b/>
                <w:bCs/>
                <w:color w:val="000000" w:themeColor="text1"/>
                <w:sz w:val="28"/>
                <w:szCs w:val="28"/>
              </w:rPr>
              <w:t>Tác động với hệ thống pháp luật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Không phát sinh quy định mới, nhưng khi Luật Thủ đô 2026 có hiệu lực sẽ xuất hiện khoảng trống pháp lý; không có căn cứ để thực thi phân quyền đặc thù của Luật Thủ đô.</w:t>
            </w:r>
          </w:p>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Thiếu cơ sở pháp lý để áp dụng cơ chế đặc thù từ 01/7/2026</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Hoàn thiện hệ thống pháp luật tại địa phương; lấp khoảng trống pháp lý; thống nhất với Luật Thủ đô 2026, Luật Đầu tư công, Luật PPP, Luật Đầu tư. Thay thế Nghị quyết 31/2025/NQ-HĐND; phân định rõ thẩm quyền HĐND TP, Chủ tịch UBND TP và Giám đốc Sở Tài chính.</w:t>
            </w:r>
          </w:p>
          <w:p w:rsidR="00AC34F2" w:rsidRPr="0067247D" w:rsidRDefault="0067247D" w:rsidP="00A0427A">
            <w:pPr>
              <w:spacing w:before="60"/>
              <w:jc w:val="both"/>
              <w:rPr>
                <w:color w:val="000000" w:themeColor="text1"/>
                <w:sz w:val="28"/>
                <w:szCs w:val="28"/>
              </w:rPr>
            </w:pPr>
            <w:r>
              <w:rPr>
                <w:color w:val="000000" w:themeColor="text1"/>
                <w:sz w:val="28"/>
                <w:szCs w:val="28"/>
                <w:lang w:val="vi-VN"/>
              </w:rPr>
              <w:t>*</w:t>
            </w:r>
            <w:r w:rsidRPr="0067247D">
              <w:rPr>
                <w:color w:val="000000" w:themeColor="text1"/>
                <w:sz w:val="28"/>
                <w:szCs w:val="28"/>
              </w:rPr>
              <w:t xml:space="preserve"> Đồng bộ, thống nhất với hệ thống pháp luật từ 01/7/2026</w:t>
            </w:r>
          </w:p>
        </w:tc>
      </w:tr>
      <w:tr w:rsidR="0067247D" w:rsidRPr="0067247D"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center"/>
              <w:rPr>
                <w:color w:val="000000" w:themeColor="text1"/>
                <w:sz w:val="28"/>
                <w:szCs w:val="28"/>
              </w:rPr>
            </w:pPr>
            <w:r w:rsidRPr="0067247D">
              <w:rPr>
                <w:color w:val="000000" w:themeColor="text1"/>
                <w:sz w:val="28"/>
                <w:szCs w:val="28"/>
              </w:rPr>
              <w:t>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both"/>
              <w:rPr>
                <w:color w:val="000000" w:themeColor="text1"/>
                <w:sz w:val="28"/>
                <w:szCs w:val="28"/>
              </w:rPr>
            </w:pPr>
            <w:r w:rsidRPr="0067247D">
              <w:rPr>
                <w:b/>
                <w:bCs/>
                <w:color w:val="000000" w:themeColor="text1"/>
                <w:sz w:val="28"/>
                <w:szCs w:val="28"/>
              </w:rPr>
              <w:t>Tác động kinh tế – xã hội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 xml:space="preserve">Tiến độ phê duyệt chủ trương đầu tư bị chậm; ảnh hưởng hàng loạt dự án trọng điểm; nhà đầu tư thiếu tự tin, làm giảm sức hút đầu tư vào Thủ đô; vốn đầu </w:t>
            </w:r>
            <w:r w:rsidRPr="0067247D">
              <w:rPr>
                <w:color w:val="000000" w:themeColor="text1"/>
                <w:sz w:val="28"/>
                <w:szCs w:val="28"/>
              </w:rPr>
              <w:lastRenderedPageBreak/>
              <w:t>tư công sử dụng không hiệu quả.</w:t>
            </w:r>
          </w:p>
          <w:p w:rsidR="00AC34F2" w:rsidRPr="0067247D" w:rsidRDefault="0067247D" w:rsidP="00A0427A">
            <w:pPr>
              <w:spacing w:before="60"/>
              <w:jc w:val="both"/>
              <w:rPr>
                <w:color w:val="000000" w:themeColor="text1"/>
                <w:sz w:val="28"/>
                <w:szCs w:val="28"/>
              </w:rPr>
            </w:pPr>
            <w:r>
              <w:rPr>
                <w:color w:val="000000" w:themeColor="text1"/>
                <w:sz w:val="28"/>
                <w:szCs w:val="28"/>
                <w:lang w:val="vi-VN"/>
              </w:rPr>
              <w:t>*</w:t>
            </w:r>
            <w:r w:rsidRPr="0067247D">
              <w:rPr>
                <w:color w:val="000000" w:themeColor="text1"/>
                <w:sz w:val="28"/>
                <w:szCs w:val="28"/>
              </w:rPr>
              <w:t xml:space="preserve"> Chậm tiến độ, tăng chi phí, giảm sức thu hút đầu tư</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lastRenderedPageBreak/>
              <w:t xml:space="preserve">* </w:t>
            </w:r>
            <w:r w:rsidRPr="0067247D">
              <w:rPr>
                <w:color w:val="000000" w:themeColor="text1"/>
                <w:sz w:val="28"/>
                <w:szCs w:val="28"/>
              </w:rPr>
              <w:t>Rút ngắn thời gian thẩm định:</w:t>
            </w:r>
            <w:r w:rsidR="006F7EFC">
              <w:rPr>
                <w:color w:val="000000" w:themeColor="text1"/>
                <w:sz w:val="28"/>
                <w:szCs w:val="28"/>
              </w:rPr>
              <w:t xml:space="preserve"> 30-70% thời gian so với quy định hiện hành</w:t>
            </w:r>
            <w:r w:rsidRPr="0067247D">
              <w:rPr>
                <w:color w:val="000000" w:themeColor="text1"/>
                <w:sz w:val="28"/>
                <w:szCs w:val="28"/>
              </w:rPr>
              <w:t xml:space="preserve">; </w:t>
            </w:r>
            <w:r w:rsidR="006F7EFC">
              <w:rPr>
                <w:color w:val="000000" w:themeColor="text1"/>
                <w:sz w:val="28"/>
                <w:szCs w:val="28"/>
              </w:rPr>
              <w:t>Rút ngắn thời gian quyết định chủ trương đầu tư 30-70% so với quy định hiện hành; Rút ngắn 30% nội dung thẩm định so với quy định hiện hành</w:t>
            </w:r>
            <w:r w:rsidRPr="0067247D">
              <w:rPr>
                <w:color w:val="000000" w:themeColor="text1"/>
                <w:sz w:val="28"/>
                <w:szCs w:val="28"/>
              </w:rPr>
              <w:t xml:space="preserve">. Tạo môi trường đầu tư minh </w:t>
            </w:r>
            <w:r w:rsidRPr="0067247D">
              <w:rPr>
                <w:color w:val="000000" w:themeColor="text1"/>
                <w:sz w:val="28"/>
                <w:szCs w:val="28"/>
              </w:rPr>
              <w:lastRenderedPageBreak/>
              <w:t>bạch, thu hút nhà đầu tư chiến lược trong lĩnh vực công nghệ cao.</w:t>
            </w:r>
          </w:p>
          <w:p w:rsidR="00AC34F2" w:rsidRPr="0067247D" w:rsidRDefault="0067247D" w:rsidP="00A0427A">
            <w:pPr>
              <w:spacing w:before="60"/>
              <w:jc w:val="both"/>
              <w:rPr>
                <w:color w:val="000000" w:themeColor="text1"/>
                <w:sz w:val="28"/>
                <w:szCs w:val="28"/>
              </w:rPr>
            </w:pPr>
            <w:r>
              <w:rPr>
                <w:color w:val="000000" w:themeColor="text1"/>
                <w:sz w:val="28"/>
                <w:szCs w:val="28"/>
                <w:lang w:val="vi-VN"/>
              </w:rPr>
              <w:t>*</w:t>
            </w:r>
            <w:r w:rsidRPr="0067247D">
              <w:rPr>
                <w:color w:val="000000" w:themeColor="text1"/>
                <w:sz w:val="28"/>
                <w:szCs w:val="28"/>
              </w:rPr>
              <w:t xml:space="preserve"> Rút ngắn đáng kể thời gian, giảm chi phí tuân thủ, tăng sức thu hút đầu tư</w:t>
            </w:r>
          </w:p>
        </w:tc>
      </w:tr>
      <w:tr w:rsidR="0067247D" w:rsidRPr="0067247D"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center"/>
              <w:rPr>
                <w:color w:val="000000" w:themeColor="text1"/>
                <w:sz w:val="28"/>
                <w:szCs w:val="28"/>
              </w:rPr>
            </w:pPr>
            <w:r w:rsidRPr="0067247D">
              <w:rPr>
                <w:color w:val="000000" w:themeColor="text1"/>
                <w:sz w:val="28"/>
                <w:szCs w:val="28"/>
              </w:rPr>
              <w:lastRenderedPageBreak/>
              <w:t>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both"/>
              <w:rPr>
                <w:color w:val="000000" w:themeColor="text1"/>
                <w:sz w:val="28"/>
                <w:szCs w:val="28"/>
              </w:rPr>
            </w:pPr>
            <w:r w:rsidRPr="0067247D">
              <w:rPr>
                <w:b/>
                <w:bCs/>
                <w:color w:val="000000" w:themeColor="text1"/>
                <w:sz w:val="28"/>
                <w:szCs w:val="28"/>
              </w:rPr>
              <w:t>Tác động TTHC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Thủ tục không được cải cách; vẫn kéo dài, nhiều tầng nấc; không có cơ chế liên thông, phân cấp rõ ràng; tổ chức, cá nhân tốn thêm thời gian và chi phí.</w:t>
            </w:r>
          </w:p>
          <w:p w:rsidR="00AC34F2" w:rsidRPr="0067247D" w:rsidRDefault="0067247D" w:rsidP="00A0427A">
            <w:pPr>
              <w:spacing w:before="60"/>
              <w:jc w:val="both"/>
              <w:rPr>
                <w:color w:val="000000" w:themeColor="text1"/>
                <w:sz w:val="28"/>
                <w:szCs w:val="28"/>
              </w:rPr>
            </w:pPr>
            <w:r>
              <w:rPr>
                <w:color w:val="000000" w:themeColor="text1"/>
                <w:sz w:val="28"/>
                <w:szCs w:val="28"/>
                <w:lang w:val="vi-VN"/>
              </w:rPr>
              <w:t>*</w:t>
            </w:r>
            <w:r w:rsidRPr="0067247D">
              <w:rPr>
                <w:color w:val="000000" w:themeColor="text1"/>
                <w:sz w:val="28"/>
                <w:szCs w:val="28"/>
              </w:rPr>
              <w:t xml:space="preserve"> Không cải thiện thủ tục hành chính</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Quy định 06 TTHC (sửa đổi, bổ sung): đa dạng hình thức nộp hồ sơ (trực tiếp, bưu chính, điện tử); không phát sinh phí/lệ phí nhà nước; hồ sơ được tinh giản theo từng loại dự án; chi phí tuân thủ giảm rõ rệt. (Chi tiết tại Phụ lục 1, 2 kèm theo.)</w:t>
            </w:r>
          </w:p>
          <w:p w:rsidR="00AC34F2" w:rsidRPr="0067247D" w:rsidRDefault="0067247D" w:rsidP="00A0427A">
            <w:pPr>
              <w:spacing w:before="60"/>
              <w:jc w:val="both"/>
              <w:rPr>
                <w:color w:val="000000" w:themeColor="text1"/>
                <w:sz w:val="28"/>
                <w:szCs w:val="28"/>
              </w:rPr>
            </w:pPr>
            <w:r>
              <w:rPr>
                <w:color w:val="000000" w:themeColor="text1"/>
                <w:sz w:val="28"/>
                <w:szCs w:val="28"/>
                <w:lang w:val="vi-VN"/>
              </w:rPr>
              <w:t>*</w:t>
            </w:r>
            <w:r w:rsidRPr="0067247D">
              <w:rPr>
                <w:color w:val="000000" w:themeColor="text1"/>
                <w:sz w:val="28"/>
                <w:szCs w:val="28"/>
              </w:rPr>
              <w:t xml:space="preserve"> Cải cách TTHC, đa kênh, giảm chi phí tuân thủ</w:t>
            </w:r>
          </w:p>
        </w:tc>
      </w:tr>
      <w:tr w:rsidR="0067247D" w:rsidRPr="0067247D"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center"/>
              <w:rPr>
                <w:color w:val="000000" w:themeColor="text1"/>
                <w:sz w:val="28"/>
                <w:szCs w:val="28"/>
              </w:rPr>
            </w:pPr>
            <w:r w:rsidRPr="0067247D">
              <w:rPr>
                <w:color w:val="000000" w:themeColor="text1"/>
                <w:sz w:val="28"/>
                <w:szCs w:val="28"/>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B0E1E" w:rsidP="00A0427A">
            <w:pPr>
              <w:spacing w:before="60"/>
              <w:jc w:val="both"/>
              <w:rPr>
                <w:color w:val="000000" w:themeColor="text1"/>
                <w:sz w:val="28"/>
                <w:szCs w:val="28"/>
              </w:rPr>
            </w:pPr>
            <w:r w:rsidRPr="0067247D">
              <w:rPr>
                <w:b/>
                <w:bCs/>
                <w:color w:val="000000" w:themeColor="text1"/>
                <w:sz w:val="28"/>
                <w:szCs w:val="28"/>
              </w:rPr>
              <w:t>Tác động về giới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Không có tác động trực tiếp về giới.</w:t>
            </w:r>
          </w:p>
        </w:tc>
        <w:tc>
          <w:tcPr>
            <w:tcW w:w="3928"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67247D" w:rsidRDefault="0067247D" w:rsidP="00A0427A">
            <w:pPr>
              <w:spacing w:before="60"/>
              <w:jc w:val="both"/>
              <w:rPr>
                <w:color w:val="000000" w:themeColor="text1"/>
                <w:sz w:val="28"/>
                <w:szCs w:val="28"/>
              </w:rPr>
            </w:pPr>
            <w:r>
              <w:rPr>
                <w:color w:val="000000" w:themeColor="text1"/>
                <w:sz w:val="28"/>
                <w:szCs w:val="28"/>
                <w:lang w:val="vi-VN"/>
              </w:rPr>
              <w:t xml:space="preserve">* </w:t>
            </w:r>
            <w:r w:rsidRPr="0067247D">
              <w:rPr>
                <w:color w:val="000000" w:themeColor="text1"/>
                <w:sz w:val="28"/>
                <w:szCs w:val="28"/>
              </w:rPr>
              <w:t>Nghị quyết áp dụng bình đẳng cho mọi tổ chức, cá nhân không phân biệt giới tính. Không tạo rào cản hay bất lợi cho doanh nghiệp do phụ nữ lãnh đạo. Phù hợp Luật Bình đẳng giới và các cam kết quốc tế.</w:t>
            </w:r>
          </w:p>
        </w:tc>
      </w:tr>
    </w:tbl>
    <w:p w:rsidR="00AC34F2" w:rsidRPr="00544B79" w:rsidRDefault="006B0E1E" w:rsidP="00A0427A">
      <w:pPr>
        <w:spacing w:before="60"/>
        <w:ind w:firstLine="720"/>
        <w:jc w:val="both"/>
        <w:rPr>
          <w:sz w:val="28"/>
          <w:szCs w:val="28"/>
        </w:rPr>
      </w:pPr>
      <w:r w:rsidRPr="00544B79">
        <w:rPr>
          <w:b/>
          <w:bCs/>
          <w:color w:val="000000"/>
          <w:sz w:val="28"/>
          <w:szCs w:val="28"/>
        </w:rPr>
        <w:t>1.3. Giải pháp tối ưu được lựa chọn và lý do</w:t>
      </w:r>
    </w:p>
    <w:p w:rsidR="00AC34F2" w:rsidRPr="00544B79" w:rsidRDefault="006B0E1E" w:rsidP="00A0427A">
      <w:pPr>
        <w:spacing w:before="60"/>
        <w:ind w:firstLine="709"/>
        <w:jc w:val="both"/>
        <w:rPr>
          <w:sz w:val="28"/>
          <w:szCs w:val="28"/>
        </w:rPr>
      </w:pPr>
      <w:r w:rsidRPr="00544B79">
        <w:rPr>
          <w:color w:val="000000"/>
          <w:sz w:val="28"/>
          <w:szCs w:val="28"/>
        </w:rPr>
        <w:t>Giải pháp 2</w:t>
      </w:r>
      <w:r w:rsidR="0067247D">
        <w:rPr>
          <w:color w:val="000000"/>
          <w:sz w:val="28"/>
          <w:szCs w:val="28"/>
          <w:lang w:val="vi-VN"/>
        </w:rPr>
        <w:t>:</w:t>
      </w:r>
      <w:r w:rsidRPr="00544B79">
        <w:rPr>
          <w:color w:val="000000"/>
          <w:sz w:val="28"/>
          <w:szCs w:val="28"/>
        </w:rPr>
        <w:t xml:space="preserve"> Ban hành Nghị quyết HĐND Thành phố quy định chi tiết theo thẩm quyền Luật Thủ đô được lựa chọn là giải pháp tối ưu với các lý do sau:</w:t>
      </w:r>
    </w:p>
    <w:p w:rsidR="00AC34F2" w:rsidRPr="00544B79" w:rsidRDefault="006B0E1E" w:rsidP="00A0427A">
      <w:pPr>
        <w:spacing w:before="60"/>
        <w:ind w:firstLine="709"/>
        <w:jc w:val="both"/>
        <w:rPr>
          <w:sz w:val="28"/>
          <w:szCs w:val="28"/>
        </w:rPr>
      </w:pPr>
      <w:r w:rsidRPr="00544B79">
        <w:rPr>
          <w:color w:val="000000"/>
          <w:sz w:val="28"/>
          <w:szCs w:val="28"/>
        </w:rPr>
        <w:t>- Bảo đảm tính hợp pháp: Đây là nhiệm vụ bắt buộc theo điểm a khoản 5 Điều 22 Luật Thủ đô số 02/2026/QH16, đồng thời là nhiệm vụ xác định tại Kế hoạch số 177/KH-UBND ngày 01/5/2026 của UBND Thành phố.</w:t>
      </w:r>
    </w:p>
    <w:p w:rsidR="00AC34F2" w:rsidRPr="00544B79" w:rsidRDefault="006B0E1E" w:rsidP="00A0427A">
      <w:pPr>
        <w:spacing w:before="60"/>
        <w:ind w:firstLine="709"/>
        <w:jc w:val="both"/>
        <w:rPr>
          <w:sz w:val="28"/>
          <w:szCs w:val="28"/>
        </w:rPr>
      </w:pPr>
      <w:r w:rsidRPr="00544B79">
        <w:rPr>
          <w:color w:val="000000"/>
          <w:sz w:val="28"/>
          <w:szCs w:val="28"/>
        </w:rPr>
        <w:t>- Lấp đầy khoảng trống pháp lý: Bảo đảm tính liên tục trong quản lý đầu tư ngay từ ngày 01/7/2026 khi Luật Thủ đô có hiệu lực, không để gián đoạn trong tiếp nhận và xử lý hồ sơ.</w:t>
      </w:r>
    </w:p>
    <w:p w:rsidR="00AC34F2" w:rsidRPr="00544B79" w:rsidRDefault="006B0E1E" w:rsidP="00A0427A">
      <w:pPr>
        <w:spacing w:before="60"/>
        <w:ind w:firstLine="709"/>
        <w:jc w:val="both"/>
        <w:rPr>
          <w:sz w:val="28"/>
          <w:szCs w:val="28"/>
        </w:rPr>
      </w:pPr>
      <w:r w:rsidRPr="00544B79">
        <w:rPr>
          <w:color w:val="000000"/>
          <w:sz w:val="28"/>
          <w:szCs w:val="28"/>
        </w:rPr>
        <w:t>- Tác động kinh tế – xã hội tích cực vượt trội: Rút ngắn thời gian phê duyệt, giảm chi phí tuân thủ, tăng tính cạnh tranh thu hút đầu tư, thúc đẩy tiến độ các dự án lớn, quan trọng của Thủ đô.</w:t>
      </w:r>
    </w:p>
    <w:p w:rsidR="00AC34F2" w:rsidRPr="00544B79" w:rsidRDefault="006B0E1E" w:rsidP="00A0427A">
      <w:pPr>
        <w:spacing w:before="60"/>
        <w:ind w:firstLine="709"/>
        <w:jc w:val="both"/>
        <w:rPr>
          <w:sz w:val="28"/>
          <w:szCs w:val="28"/>
        </w:rPr>
      </w:pPr>
      <w:r w:rsidRPr="00544B79">
        <w:rPr>
          <w:color w:val="000000"/>
          <w:sz w:val="28"/>
          <w:szCs w:val="28"/>
        </w:rPr>
        <w:lastRenderedPageBreak/>
        <w:t>- Phù hợp với chủ trương cải cách hành chính, chuyển đổi số; ứng dụng công nghệ thông tin, một đầu mối tiếp nhận, rõ trách nhiệm từng cơ quan, hạn chế cơ chế xin-cho.</w:t>
      </w:r>
    </w:p>
    <w:p w:rsidR="00AC34F2" w:rsidRPr="00544B79" w:rsidRDefault="006B0E1E" w:rsidP="00A0427A">
      <w:pPr>
        <w:spacing w:before="60"/>
        <w:ind w:firstLine="709"/>
        <w:jc w:val="both"/>
        <w:rPr>
          <w:sz w:val="28"/>
          <w:szCs w:val="28"/>
        </w:rPr>
      </w:pPr>
      <w:r w:rsidRPr="00544B79">
        <w:rPr>
          <w:color w:val="000000"/>
          <w:sz w:val="28"/>
          <w:szCs w:val="28"/>
        </w:rPr>
        <w:t>- Khả thi và thực tiễn: Được xây dựng trên cơ sở tiếp thu kinh nghiệm triển khai Nghị quyết 31/2025/NQ-HĐND; phù hợp năng lực tổ chức bộ máy của Sở Tài chính và Ban Quản lý K</w:t>
      </w:r>
      <w:r w:rsidR="00832524">
        <w:rPr>
          <w:color w:val="000000"/>
          <w:sz w:val="28"/>
          <w:szCs w:val="28"/>
        </w:rPr>
        <w:t>hu</w:t>
      </w:r>
      <w:r w:rsidR="00832524">
        <w:rPr>
          <w:color w:val="000000"/>
          <w:sz w:val="28"/>
          <w:szCs w:val="28"/>
          <w:lang w:val="vi-VN"/>
        </w:rPr>
        <w:t xml:space="preserve"> công nghiệp</w:t>
      </w:r>
      <w:r w:rsidRPr="00544B79">
        <w:rPr>
          <w:color w:val="000000"/>
          <w:sz w:val="28"/>
          <w:szCs w:val="28"/>
        </w:rPr>
        <w:t>, K</w:t>
      </w:r>
      <w:r w:rsidR="00832524">
        <w:rPr>
          <w:color w:val="000000"/>
          <w:sz w:val="28"/>
          <w:szCs w:val="28"/>
        </w:rPr>
        <w:t>hu</w:t>
      </w:r>
      <w:r w:rsidR="00832524">
        <w:rPr>
          <w:color w:val="000000"/>
          <w:sz w:val="28"/>
          <w:szCs w:val="28"/>
          <w:lang w:val="vi-VN"/>
        </w:rPr>
        <w:t xml:space="preserve"> chế xuất</w:t>
      </w:r>
      <w:r w:rsidRPr="00544B79">
        <w:rPr>
          <w:color w:val="000000"/>
          <w:sz w:val="28"/>
          <w:szCs w:val="28"/>
        </w:rPr>
        <w:t>.</w:t>
      </w:r>
    </w:p>
    <w:p w:rsidR="00AC34F2" w:rsidRPr="00544B79" w:rsidRDefault="006B0E1E" w:rsidP="00A0427A">
      <w:pPr>
        <w:spacing w:before="60"/>
        <w:ind w:firstLine="720"/>
        <w:jc w:val="both"/>
        <w:rPr>
          <w:sz w:val="28"/>
          <w:szCs w:val="28"/>
        </w:rPr>
      </w:pPr>
      <w:r w:rsidRPr="00544B79">
        <w:rPr>
          <w:b/>
          <w:bCs/>
          <w:color w:val="000000"/>
          <w:sz w:val="28"/>
          <w:szCs w:val="28"/>
        </w:rPr>
        <w:t>Chính sách 2: Quy định tiêu chí, điều kiện, trình tự, thủ tục lựa chọn nhà đầu tư, nhà thầu trong trường hợp đặc biệt (thực hiện điểm b khoản 5 Điều 22 Luật Thủ đô)</w:t>
      </w:r>
    </w:p>
    <w:p w:rsidR="00AC34F2" w:rsidRPr="00544B79" w:rsidRDefault="006B0E1E" w:rsidP="00A0427A">
      <w:pPr>
        <w:spacing w:before="60"/>
        <w:ind w:firstLine="720"/>
        <w:jc w:val="both"/>
        <w:rPr>
          <w:sz w:val="28"/>
          <w:szCs w:val="28"/>
        </w:rPr>
      </w:pPr>
      <w:r w:rsidRPr="00544B79">
        <w:rPr>
          <w:b/>
          <w:bCs/>
          <w:color w:val="000000"/>
          <w:sz w:val="28"/>
          <w:szCs w:val="28"/>
        </w:rPr>
        <w:t>2.1. Xác định vấn đề và các giải pháp lựa chọn</w:t>
      </w:r>
    </w:p>
    <w:p w:rsidR="00AC34F2" w:rsidRPr="00544B79" w:rsidRDefault="006B0E1E" w:rsidP="00A0427A">
      <w:pPr>
        <w:spacing w:before="60"/>
        <w:ind w:firstLine="720"/>
        <w:jc w:val="both"/>
        <w:rPr>
          <w:sz w:val="28"/>
          <w:szCs w:val="28"/>
        </w:rPr>
      </w:pPr>
      <w:r w:rsidRPr="00544B79">
        <w:rPr>
          <w:color w:val="000000"/>
          <w:sz w:val="28"/>
          <w:szCs w:val="28"/>
        </w:rPr>
        <w:t>Cơ chế đấu thầu thông thường theo Luật Đấu thầu (trung bình 6–12 tháng) không đáp ứng yêu cầu triển khai nhanh các dự án lớn, quan trọng, cấp bách của Thủ đô; đặc biệt với các dự án thu hút nhà đầu tư chiến lược đòi hỏi quy trình bảo mật, linh hoạt. Luật Thủ đô 2026 trao thẩm quyền đặc thù cho HĐND Thành phố về vấn đề này. Hai giải pháp được xem xét:</w:t>
      </w:r>
    </w:p>
    <w:p w:rsidR="00AC34F2" w:rsidRPr="00544B79" w:rsidRDefault="006B0E1E" w:rsidP="00A0427A">
      <w:pPr>
        <w:spacing w:before="60"/>
        <w:ind w:firstLine="709"/>
        <w:jc w:val="both"/>
        <w:rPr>
          <w:sz w:val="28"/>
          <w:szCs w:val="28"/>
        </w:rPr>
      </w:pPr>
      <w:r w:rsidRPr="00544B79">
        <w:rPr>
          <w:color w:val="000000"/>
          <w:sz w:val="28"/>
          <w:szCs w:val="28"/>
        </w:rPr>
        <w:t>- Giải pháp 1: Áp dụng quy trình đấu thầu thông thường theo Luật Đấu thầu, Luật Đầu tư, Luật PPP (không ban hành cơ chế đặc biệt).</w:t>
      </w:r>
    </w:p>
    <w:p w:rsidR="00AC34F2" w:rsidRPr="00544B79" w:rsidRDefault="006B0E1E" w:rsidP="00A0427A">
      <w:pPr>
        <w:spacing w:before="60"/>
        <w:ind w:firstLine="709"/>
        <w:jc w:val="both"/>
        <w:rPr>
          <w:sz w:val="28"/>
          <w:szCs w:val="28"/>
        </w:rPr>
      </w:pPr>
      <w:r w:rsidRPr="00544B79">
        <w:rPr>
          <w:color w:val="000000"/>
          <w:sz w:val="28"/>
          <w:szCs w:val="28"/>
        </w:rPr>
        <w:t>- Giải pháp 2 (đề xuất): Ban hành quy định về tiêu chí, điều kiện, trình tự, thủ tục lựa chọn nhà đầu tư, nhà thầu trong trường hợp đặc biệt theo khoản 4 Điều 22 Luật Thủ đô.</w:t>
      </w:r>
    </w:p>
    <w:p w:rsidR="00AC34F2" w:rsidRPr="00544B79" w:rsidRDefault="006B0E1E" w:rsidP="00A0427A">
      <w:pPr>
        <w:spacing w:before="60"/>
        <w:ind w:firstLine="720"/>
        <w:jc w:val="both"/>
        <w:rPr>
          <w:sz w:val="28"/>
          <w:szCs w:val="28"/>
        </w:rPr>
      </w:pPr>
      <w:r w:rsidRPr="00544B79">
        <w:rPr>
          <w:b/>
          <w:bCs/>
          <w:color w:val="000000"/>
          <w:sz w:val="28"/>
          <w:szCs w:val="28"/>
        </w:rPr>
        <w:t>2.2. Đánh giá tác động hai giải pháp</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2"/>
        <w:gridCol w:w="1330"/>
        <w:gridCol w:w="2835"/>
        <w:gridCol w:w="4069"/>
      </w:tblGrid>
      <w:tr w:rsidR="00832524" w:rsidRPr="00832524" w:rsidTr="00832524">
        <w:trPr>
          <w:tblHeader/>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0427A">
            <w:pPr>
              <w:spacing w:before="60"/>
              <w:jc w:val="center"/>
              <w:rPr>
                <w:color w:val="000000" w:themeColor="text1"/>
                <w:sz w:val="28"/>
                <w:szCs w:val="28"/>
              </w:rPr>
            </w:pPr>
            <w:r w:rsidRPr="00832524">
              <w:rPr>
                <w:b/>
                <w:bCs/>
                <w:color w:val="000000" w:themeColor="text1"/>
                <w:sz w:val="28"/>
                <w:szCs w:val="28"/>
              </w:rPr>
              <w:t>STT</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0427A">
            <w:pPr>
              <w:spacing w:before="60"/>
              <w:jc w:val="center"/>
              <w:rPr>
                <w:color w:val="000000" w:themeColor="text1"/>
                <w:sz w:val="28"/>
                <w:szCs w:val="28"/>
              </w:rPr>
            </w:pPr>
            <w:r w:rsidRPr="00832524">
              <w:rPr>
                <w:b/>
                <w:bCs/>
                <w:color w:val="000000" w:themeColor="text1"/>
                <w:sz w:val="28"/>
                <w:szCs w:val="28"/>
              </w:rPr>
              <w:t>Tiêu chí đánh giá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0427A">
            <w:pPr>
              <w:spacing w:before="60"/>
              <w:jc w:val="center"/>
              <w:rPr>
                <w:color w:val="000000" w:themeColor="text1"/>
                <w:sz w:val="28"/>
                <w:szCs w:val="28"/>
              </w:rPr>
            </w:pPr>
            <w:r w:rsidRPr="00832524">
              <w:rPr>
                <w:b/>
                <w:bCs/>
                <w:color w:val="000000" w:themeColor="text1"/>
                <w:sz w:val="28"/>
                <w:szCs w:val="28"/>
              </w:rPr>
              <w:t>Giải pháp 1: Áp dụng quy trình đấu thầu thông thường</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0427A">
            <w:pPr>
              <w:spacing w:before="60"/>
              <w:jc w:val="center"/>
              <w:rPr>
                <w:color w:val="000000" w:themeColor="text1"/>
                <w:sz w:val="28"/>
                <w:szCs w:val="28"/>
              </w:rPr>
            </w:pPr>
            <w:r w:rsidRPr="00832524">
              <w:rPr>
                <w:b/>
                <w:bCs/>
                <w:color w:val="000000" w:themeColor="text1"/>
                <w:sz w:val="28"/>
                <w:szCs w:val="28"/>
              </w:rPr>
              <w:t>Giải pháp 2: Ban hành cơ chế đặc biệt (đề xuất)</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center"/>
              <w:rPr>
                <w:color w:val="000000" w:themeColor="text1"/>
                <w:sz w:val="28"/>
                <w:szCs w:val="28"/>
              </w:rPr>
            </w:pPr>
            <w:r w:rsidRPr="00832524">
              <w:rPr>
                <w:color w:val="000000" w:themeColor="text1"/>
                <w:sz w:val="28"/>
                <w:szCs w:val="28"/>
              </w:rPr>
              <w:t>1</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both"/>
              <w:rPr>
                <w:color w:val="000000" w:themeColor="text1"/>
                <w:sz w:val="28"/>
                <w:szCs w:val="28"/>
              </w:rPr>
            </w:pPr>
            <w:r w:rsidRPr="00832524">
              <w:rPr>
                <w:b/>
                <w:bCs/>
                <w:color w:val="000000" w:themeColor="text1"/>
                <w:sz w:val="28"/>
                <w:szCs w:val="28"/>
              </w:rPr>
              <w:t>Tác động pháp luật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Không có căn cứ pháp lý thực hiện khoản 4 Điều 22 Luật Thủ đô về lựa chọn nhà đầu tư trong trường hợp đặc biệt.</w:t>
            </w:r>
          </w:p>
          <w:p w:rsidR="00AC34F2" w:rsidRPr="00832524" w:rsidRDefault="00832524" w:rsidP="00A0427A">
            <w:pPr>
              <w:spacing w:before="60"/>
              <w:jc w:val="both"/>
              <w:rPr>
                <w:color w:val="000000" w:themeColor="text1"/>
                <w:sz w:val="28"/>
                <w:szCs w:val="28"/>
              </w:rPr>
            </w:pPr>
            <w:r>
              <w:rPr>
                <w:color w:val="000000" w:themeColor="text1"/>
                <w:sz w:val="28"/>
                <w:szCs w:val="28"/>
                <w:lang w:val="vi-VN"/>
              </w:rPr>
              <w:t>* Không có</w:t>
            </w:r>
            <w:r w:rsidRPr="00832524">
              <w:rPr>
                <w:color w:val="000000" w:themeColor="text1"/>
                <w:sz w:val="28"/>
                <w:szCs w:val="28"/>
              </w:rPr>
              <w:t xml:space="preserve"> thẩm quyền đặc thù theo Luật Thủ đô</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Cụ thể hóa thẩm quyền đặc thù tại khoản 4 Điều 22 Luật Thủ đô; bổ sung quy trình lựa chọn nhà đầu tư đặc biệt cho dự án PPP, dự án Luật Đầu tư và nhà đầu tư chiến lược; quy định rõ tiêu chí đánh giá năng lực tài chính (vốn chủ sở hữu tối thiểu 15–30%), khả năng huy động vốn vay.</w:t>
            </w:r>
          </w:p>
          <w:p w:rsidR="00AC34F2" w:rsidRPr="00832524" w:rsidRDefault="00832524" w:rsidP="00A0427A">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Hoàn thiện khung pháp lý, thực thi đúng Luật Thủ đô</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center"/>
              <w:rPr>
                <w:color w:val="000000" w:themeColor="text1"/>
                <w:sz w:val="28"/>
                <w:szCs w:val="28"/>
              </w:rPr>
            </w:pPr>
            <w:r w:rsidRPr="00832524">
              <w:rPr>
                <w:color w:val="000000" w:themeColor="text1"/>
                <w:sz w:val="28"/>
                <w:szCs w:val="28"/>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both"/>
              <w:rPr>
                <w:color w:val="000000" w:themeColor="text1"/>
                <w:sz w:val="28"/>
                <w:szCs w:val="28"/>
              </w:rPr>
            </w:pPr>
            <w:r w:rsidRPr="00832524">
              <w:rPr>
                <w:b/>
                <w:bCs/>
                <w:color w:val="000000" w:themeColor="text1"/>
                <w:sz w:val="28"/>
                <w:szCs w:val="28"/>
              </w:rPr>
              <w:t>Tác động kinh tế – xã hội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 xml:space="preserve">Thời gian đấu thầu thông thường kéo dài 6–12 tháng; không đáp ứng yêu cầu triển khai nhanh dự án trọng điểm; không thu hút </w:t>
            </w:r>
            <w:r w:rsidRPr="00832524">
              <w:rPr>
                <w:color w:val="000000" w:themeColor="text1"/>
                <w:sz w:val="28"/>
                <w:szCs w:val="28"/>
              </w:rPr>
              <w:lastRenderedPageBreak/>
              <w:t>được nhà đầu tư chiến lược có quy trình lựa chọn đặc thù.</w:t>
            </w:r>
          </w:p>
          <w:p w:rsidR="00AC34F2" w:rsidRPr="00832524" w:rsidRDefault="00832524" w:rsidP="00A0427A">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Chậm tiến độ, giảm sức thu hút nhà đầu tư chiến lược</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lastRenderedPageBreak/>
              <w:t xml:space="preserve">* </w:t>
            </w:r>
            <w:r w:rsidRPr="00832524">
              <w:rPr>
                <w:color w:val="000000" w:themeColor="text1"/>
                <w:sz w:val="28"/>
                <w:szCs w:val="28"/>
              </w:rPr>
              <w:t xml:space="preserve">Quy trình lựa chọn nhà đầu tư được tích hợp vào thẩm định chủ trương (đánh giá đồng thời), rút ngắn đáng kể thời gian. Tiêu chí đánh giá đạt/không đạt rõ ràng, bảo đảm công khai, minh bạch, </w:t>
            </w:r>
            <w:r w:rsidRPr="00832524">
              <w:rPr>
                <w:color w:val="000000" w:themeColor="text1"/>
                <w:sz w:val="28"/>
                <w:szCs w:val="28"/>
              </w:rPr>
              <w:lastRenderedPageBreak/>
              <w:t>hạn chế cơ chế xin-cho; thu hút nhà đầu tư chiến lược có tiềm lực mạnh, công nghệ cao.</w:t>
            </w:r>
          </w:p>
          <w:p w:rsidR="00AC34F2" w:rsidRDefault="00832524" w:rsidP="00A0427A">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Rút ngắn thời gian, minh bạch, thu hút đầu tư chiến lược</w:t>
            </w:r>
          </w:p>
          <w:p w:rsidR="00552532" w:rsidRPr="00552532" w:rsidRDefault="00552532" w:rsidP="00A0427A">
            <w:pPr>
              <w:spacing w:before="60"/>
              <w:jc w:val="both"/>
              <w:rPr>
                <w:color w:val="000000" w:themeColor="text1"/>
                <w:sz w:val="28"/>
                <w:szCs w:val="28"/>
              </w:rPr>
            </w:pPr>
            <w:r>
              <w:rPr>
                <w:color w:val="000000" w:themeColor="text1"/>
                <w:sz w:val="28"/>
                <w:szCs w:val="28"/>
              </w:rPr>
              <w:t>* Giảm 50% nội dung thẩm định lựa chọn nhà đầu tư trong trường hợp đặc biệt</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center"/>
              <w:rPr>
                <w:color w:val="000000" w:themeColor="text1"/>
                <w:sz w:val="28"/>
                <w:szCs w:val="28"/>
              </w:rPr>
            </w:pPr>
            <w:r w:rsidRPr="00832524">
              <w:rPr>
                <w:color w:val="000000" w:themeColor="text1"/>
                <w:sz w:val="28"/>
                <w:szCs w:val="28"/>
              </w:rPr>
              <w:lastRenderedPageBreak/>
              <w:t>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both"/>
              <w:rPr>
                <w:color w:val="000000" w:themeColor="text1"/>
                <w:sz w:val="28"/>
                <w:szCs w:val="28"/>
              </w:rPr>
            </w:pPr>
            <w:r w:rsidRPr="00832524">
              <w:rPr>
                <w:b/>
                <w:bCs/>
                <w:color w:val="000000" w:themeColor="text1"/>
                <w:sz w:val="28"/>
                <w:szCs w:val="28"/>
              </w:rPr>
              <w:t>Tác động TTHC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Thủ tục đấu thầu thông thường không phù hợp đặc thù dự án cấp bách; phát sinh thêm thủ tục đấu thầu riêng biệt sau khi quyết định chủ trương.</w:t>
            </w:r>
          </w:p>
          <w:p w:rsidR="00AC34F2" w:rsidRPr="00832524" w:rsidRDefault="00832524" w:rsidP="00A0427A">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Phát sinh thêm thủ tục</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Quy trình lựa chọn nhà đầu tư đặc biệt được tích hợp vào quy trình thẩm định CTĐT; cơ quan có thẩm quyền quyết định CTĐT đồng thời phê duyệt nhà đầu tư được lựa chọn, giảm bớt 01 thủ tục riêng biệt.</w:t>
            </w:r>
          </w:p>
          <w:p w:rsidR="00AC34F2" w:rsidRPr="00832524" w:rsidRDefault="00832524" w:rsidP="00A0427A">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Giảm 01 thủ tục, tiết kiệm thời gian và chi phí</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center"/>
              <w:rPr>
                <w:color w:val="000000" w:themeColor="text1"/>
                <w:sz w:val="28"/>
                <w:szCs w:val="28"/>
              </w:rPr>
            </w:pPr>
            <w:r w:rsidRPr="00832524">
              <w:rPr>
                <w:color w:val="000000" w:themeColor="text1"/>
                <w:sz w:val="28"/>
                <w:szCs w:val="28"/>
              </w:rPr>
              <w:t>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0427A">
            <w:pPr>
              <w:spacing w:before="60"/>
              <w:jc w:val="both"/>
              <w:rPr>
                <w:color w:val="000000" w:themeColor="text1"/>
                <w:sz w:val="28"/>
                <w:szCs w:val="28"/>
              </w:rPr>
            </w:pPr>
            <w:r w:rsidRPr="00832524">
              <w:rPr>
                <w:b/>
                <w:bCs/>
                <w:color w:val="000000" w:themeColor="text1"/>
                <w:sz w:val="28"/>
                <w:szCs w:val="28"/>
              </w:rPr>
              <w:t>Tác động về giới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Không có tác động trực tiếp.</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0427A">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Tiêu chí lựa chọn nhà đầu tư áp dụng bình đẳng, không phân biệt giới tính.</w:t>
            </w:r>
          </w:p>
        </w:tc>
      </w:tr>
    </w:tbl>
    <w:p w:rsidR="00AC34F2" w:rsidRPr="00544B79" w:rsidRDefault="006B0E1E" w:rsidP="00A30210">
      <w:pPr>
        <w:spacing w:before="60"/>
        <w:ind w:firstLine="720"/>
        <w:jc w:val="both"/>
        <w:rPr>
          <w:sz w:val="28"/>
          <w:szCs w:val="28"/>
        </w:rPr>
      </w:pPr>
      <w:r w:rsidRPr="00544B79">
        <w:rPr>
          <w:b/>
          <w:bCs/>
          <w:color w:val="000000"/>
          <w:sz w:val="28"/>
          <w:szCs w:val="28"/>
        </w:rPr>
        <w:t>2.3. Giải pháp tối ưu được lựa chọn và lý do</w:t>
      </w:r>
    </w:p>
    <w:p w:rsidR="00AC34F2" w:rsidRPr="00544B79" w:rsidRDefault="006B0E1E" w:rsidP="00A30210">
      <w:pPr>
        <w:spacing w:before="60"/>
        <w:ind w:firstLine="720"/>
        <w:jc w:val="both"/>
        <w:rPr>
          <w:sz w:val="28"/>
          <w:szCs w:val="28"/>
        </w:rPr>
      </w:pPr>
      <w:r w:rsidRPr="00544B79">
        <w:rPr>
          <w:color w:val="000000"/>
          <w:sz w:val="28"/>
          <w:szCs w:val="28"/>
        </w:rPr>
        <w:t>Giải pháp 2 được lựa chọn: Bảo đảm thực hiện đúng thẩm quyền theo Luật Thủ đô; cân bằng giữa yêu cầu đẩy nhanh tiến độ đầu tư với kiểm soát chặt chẽ năng lực nhà đầu tư và phòng chống tham nhũng; phù hợp đặc thù thu hút đầu tư chiến lược, dự án cấp bách của Thủ đô. Cơ chế đánh giá năng lực tài chính với yêu cầu vốn chủ sở hữu tối thiểu 15–30% bảo đảm lựa chọn nhà đầu tư thực sự có năng lực triển khai dự án.</w:t>
      </w:r>
    </w:p>
    <w:p w:rsidR="00AC34F2" w:rsidRPr="00544B79" w:rsidRDefault="006B0E1E" w:rsidP="00A30210">
      <w:pPr>
        <w:spacing w:before="60"/>
        <w:ind w:firstLine="720"/>
        <w:jc w:val="both"/>
        <w:rPr>
          <w:sz w:val="28"/>
          <w:szCs w:val="28"/>
        </w:rPr>
      </w:pPr>
      <w:r w:rsidRPr="00544B79">
        <w:rPr>
          <w:b/>
          <w:bCs/>
          <w:color w:val="000000"/>
          <w:sz w:val="28"/>
          <w:szCs w:val="28"/>
        </w:rPr>
        <w:t>Chính sách 3: Quy định tiêu chí, điều kiện, trình tự, thủ tục xác định dự án cần triển khai ngay (thực hiện điểm d khoản 5 Điều 22 Luật Thủ đô)</w:t>
      </w:r>
    </w:p>
    <w:p w:rsidR="00AC34F2" w:rsidRPr="00544B79" w:rsidRDefault="006B0E1E" w:rsidP="00A30210">
      <w:pPr>
        <w:spacing w:before="60"/>
        <w:ind w:firstLine="720"/>
        <w:jc w:val="both"/>
        <w:rPr>
          <w:sz w:val="28"/>
          <w:szCs w:val="28"/>
        </w:rPr>
      </w:pPr>
      <w:r w:rsidRPr="00544B79">
        <w:rPr>
          <w:b/>
          <w:bCs/>
          <w:color w:val="000000"/>
          <w:sz w:val="28"/>
          <w:szCs w:val="28"/>
        </w:rPr>
        <w:t>3.1. Xác định vấn đề và các giải pháp lựa chọn</w:t>
      </w:r>
    </w:p>
    <w:p w:rsidR="00AC34F2" w:rsidRPr="00544B79" w:rsidRDefault="006B0E1E" w:rsidP="00A30210">
      <w:pPr>
        <w:spacing w:before="60"/>
        <w:ind w:firstLine="720"/>
        <w:jc w:val="both"/>
        <w:rPr>
          <w:sz w:val="28"/>
          <w:szCs w:val="28"/>
        </w:rPr>
      </w:pPr>
      <w:r w:rsidRPr="00544B79">
        <w:rPr>
          <w:color w:val="000000"/>
          <w:sz w:val="28"/>
          <w:szCs w:val="28"/>
        </w:rPr>
        <w:t>Điểm a khoản 4 Điều 3 Luật Thủ đô cho phép áp dụng các cơ chế đặc thù (rút gọn thủ tục, cơ chế đặc biệt lựa chọn nhà đầu tư) cho các dự án cần triển khai ngay. Hiện nay chưa có quy định xác định tiêu chí để phân loại các dự án này, dẫn đến không có căn cứ áp dụng cơ chế đặc thù; ảnh hưởng đến tiến độ giải quyết các điểm nghẽn về hạ tầng, giao thông, môi trường của Thủ đô. Hai giải pháp được xem xét:</w:t>
      </w:r>
    </w:p>
    <w:p w:rsidR="00AC34F2" w:rsidRPr="00544B79" w:rsidRDefault="006B0E1E" w:rsidP="00A30210">
      <w:pPr>
        <w:spacing w:before="60"/>
        <w:ind w:left="720" w:hanging="360"/>
        <w:jc w:val="both"/>
        <w:rPr>
          <w:sz w:val="28"/>
          <w:szCs w:val="28"/>
        </w:rPr>
      </w:pPr>
      <w:r w:rsidRPr="00544B79">
        <w:rPr>
          <w:color w:val="000000"/>
          <w:sz w:val="28"/>
          <w:szCs w:val="28"/>
        </w:rPr>
        <w:t>- Giải pháp 1: Không ban hành quy định riêng, áp dụng quy trình chung.</w:t>
      </w:r>
    </w:p>
    <w:p w:rsidR="00AC34F2" w:rsidRPr="00544B79" w:rsidRDefault="006B0E1E" w:rsidP="00A30210">
      <w:pPr>
        <w:spacing w:before="60"/>
        <w:ind w:left="720" w:hanging="360"/>
        <w:jc w:val="both"/>
        <w:rPr>
          <w:sz w:val="28"/>
          <w:szCs w:val="28"/>
        </w:rPr>
      </w:pPr>
      <w:r w:rsidRPr="00544B79">
        <w:rPr>
          <w:color w:val="000000"/>
          <w:sz w:val="28"/>
          <w:szCs w:val="28"/>
        </w:rPr>
        <w:lastRenderedPageBreak/>
        <w:t>- Giải pháp 2 (đề xuất): Ban hành quy định cụ thể về tiêu chí, điều kiện, trình tự, thủ tục xác định dự án cần triển khai ngay.</w:t>
      </w:r>
    </w:p>
    <w:p w:rsidR="00AC34F2" w:rsidRPr="00544B79" w:rsidRDefault="006B0E1E" w:rsidP="00A30210">
      <w:pPr>
        <w:spacing w:before="120" w:after="120" w:line="276" w:lineRule="auto"/>
        <w:ind w:firstLine="720"/>
        <w:jc w:val="both"/>
        <w:rPr>
          <w:sz w:val="28"/>
          <w:szCs w:val="28"/>
        </w:rPr>
      </w:pPr>
      <w:r w:rsidRPr="00544B79">
        <w:rPr>
          <w:b/>
          <w:bCs/>
          <w:color w:val="000000"/>
          <w:sz w:val="28"/>
          <w:szCs w:val="28"/>
        </w:rPr>
        <w:t>3.2.</w:t>
      </w:r>
      <w:r w:rsidR="00A30210">
        <w:rPr>
          <w:b/>
          <w:bCs/>
          <w:color w:val="000000"/>
          <w:sz w:val="28"/>
          <w:szCs w:val="28"/>
        </w:rPr>
        <w:t xml:space="preserve"> Đánh giá tác động hai giải pháp</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2"/>
        <w:gridCol w:w="1330"/>
        <w:gridCol w:w="2835"/>
        <w:gridCol w:w="4069"/>
      </w:tblGrid>
      <w:tr w:rsidR="00832524" w:rsidRPr="00832524" w:rsidTr="00832524">
        <w:trPr>
          <w:tblHeader/>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30210">
            <w:pPr>
              <w:spacing w:before="60"/>
              <w:jc w:val="center"/>
              <w:rPr>
                <w:color w:val="000000" w:themeColor="text1"/>
                <w:sz w:val="28"/>
                <w:szCs w:val="28"/>
              </w:rPr>
            </w:pPr>
            <w:r w:rsidRPr="00832524">
              <w:rPr>
                <w:b/>
                <w:bCs/>
                <w:color w:val="000000" w:themeColor="text1"/>
                <w:sz w:val="28"/>
                <w:szCs w:val="28"/>
              </w:rPr>
              <w:t>STT</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30210">
            <w:pPr>
              <w:spacing w:before="60"/>
              <w:jc w:val="center"/>
              <w:rPr>
                <w:color w:val="000000" w:themeColor="text1"/>
                <w:sz w:val="28"/>
                <w:szCs w:val="28"/>
              </w:rPr>
            </w:pPr>
            <w:r w:rsidRPr="00832524">
              <w:rPr>
                <w:b/>
                <w:bCs/>
                <w:color w:val="000000" w:themeColor="text1"/>
                <w:sz w:val="28"/>
                <w:szCs w:val="28"/>
              </w:rPr>
              <w:t>Tiêu chí đánh giá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30210">
            <w:pPr>
              <w:spacing w:before="60"/>
              <w:jc w:val="center"/>
              <w:rPr>
                <w:color w:val="000000" w:themeColor="text1"/>
                <w:sz w:val="28"/>
                <w:szCs w:val="28"/>
              </w:rPr>
            </w:pPr>
            <w:r w:rsidRPr="00832524">
              <w:rPr>
                <w:b/>
                <w:bCs/>
                <w:color w:val="000000" w:themeColor="text1"/>
                <w:sz w:val="28"/>
                <w:szCs w:val="28"/>
              </w:rPr>
              <w:t>Giải pháp 1: Không ban hành quy định riêng</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vAlign w:val="center"/>
          </w:tcPr>
          <w:p w:rsidR="00AC34F2" w:rsidRPr="00832524" w:rsidRDefault="006B0E1E" w:rsidP="00A30210">
            <w:pPr>
              <w:spacing w:before="60"/>
              <w:jc w:val="center"/>
              <w:rPr>
                <w:color w:val="000000" w:themeColor="text1"/>
                <w:sz w:val="28"/>
                <w:szCs w:val="28"/>
              </w:rPr>
            </w:pPr>
            <w:r w:rsidRPr="00832524">
              <w:rPr>
                <w:b/>
                <w:bCs/>
                <w:color w:val="000000" w:themeColor="text1"/>
                <w:sz w:val="28"/>
                <w:szCs w:val="28"/>
              </w:rPr>
              <w:t>Giải pháp 2: Ban hành quy định xác định dự án cần triển khai ngay (đề xuất)</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center"/>
              <w:rPr>
                <w:color w:val="000000" w:themeColor="text1"/>
                <w:sz w:val="28"/>
                <w:szCs w:val="28"/>
              </w:rPr>
            </w:pPr>
            <w:r w:rsidRPr="00832524">
              <w:rPr>
                <w:color w:val="000000" w:themeColor="text1"/>
                <w:sz w:val="28"/>
                <w:szCs w:val="28"/>
              </w:rPr>
              <w:t>1</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both"/>
              <w:rPr>
                <w:color w:val="000000" w:themeColor="text1"/>
                <w:sz w:val="28"/>
                <w:szCs w:val="28"/>
              </w:rPr>
            </w:pPr>
            <w:r w:rsidRPr="00832524">
              <w:rPr>
                <w:b/>
                <w:bCs/>
                <w:color w:val="000000" w:themeColor="text1"/>
                <w:sz w:val="28"/>
                <w:szCs w:val="28"/>
              </w:rPr>
              <w:t>Tác động pháp luật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Không có căn cứ pháp lý để áp dụng cơ chế đặc thù tại điểm a khoản 4 Điều 3 Luật Thủ đô 2026.</w:t>
            </w:r>
          </w:p>
          <w:p w:rsidR="00AC34F2" w:rsidRPr="00832524" w:rsidRDefault="00832524" w:rsidP="00A30210">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w:t>
            </w:r>
            <w:r>
              <w:rPr>
                <w:color w:val="000000" w:themeColor="text1"/>
                <w:sz w:val="28"/>
                <w:szCs w:val="28"/>
              </w:rPr>
              <w:t>Không</w:t>
            </w:r>
            <w:r>
              <w:rPr>
                <w:color w:val="000000" w:themeColor="text1"/>
                <w:sz w:val="28"/>
                <w:szCs w:val="28"/>
                <w:lang w:val="vi-VN"/>
              </w:rPr>
              <w:t xml:space="preserve"> có</w:t>
            </w:r>
            <w:r w:rsidRPr="00832524">
              <w:rPr>
                <w:color w:val="000000" w:themeColor="text1"/>
                <w:sz w:val="28"/>
                <w:szCs w:val="28"/>
              </w:rPr>
              <w:t xml:space="preserve"> thẩm quyền xác định dự án cần triển khai ngay</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Cụ thể hóa điểm a khoản 4 Điều 3 Luật Thủ đô; quy định rõ các loại dự án gồm: (i) dự án trong danh mục trọng điểm 2026–2030 của Thành ủy; (ii) dự án đáp ứng tiêu chí quan trọng quốc gia; (iii) dự án thu hút nhà đầu tư chiến lược; (iv) dự án giải quyết điểm nghẽn hạ tầng. Tính cấp thiết được đánh giá lồng ghép trong thẩm định CTĐT, không phát sinh thủ tục hành chính riêng.</w:t>
            </w:r>
          </w:p>
          <w:p w:rsidR="00AC34F2" w:rsidRPr="00832524" w:rsidRDefault="00832524" w:rsidP="00A30210">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Cụ thể hóa đầy đủ, không phát sinh thủ tục mới</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center"/>
              <w:rPr>
                <w:color w:val="000000" w:themeColor="text1"/>
                <w:sz w:val="28"/>
                <w:szCs w:val="28"/>
              </w:rPr>
            </w:pPr>
            <w:r w:rsidRPr="00832524">
              <w:rPr>
                <w:color w:val="000000" w:themeColor="text1"/>
                <w:sz w:val="28"/>
                <w:szCs w:val="28"/>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both"/>
              <w:rPr>
                <w:color w:val="000000" w:themeColor="text1"/>
                <w:sz w:val="28"/>
                <w:szCs w:val="28"/>
              </w:rPr>
            </w:pPr>
            <w:r w:rsidRPr="00832524">
              <w:rPr>
                <w:b/>
                <w:bCs/>
                <w:color w:val="000000" w:themeColor="text1"/>
                <w:sz w:val="28"/>
                <w:szCs w:val="28"/>
              </w:rPr>
              <w:t>Tác động kinh tế – xã hội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Không thể áp dụng cơ chế đặc thù (rút gọn thủ tục, cơ chế đặc biệt lựa chọn NĐT) cho dự án thực sự cấp bách; kéo dài thời gian giải quyết điểm nghẽn hạ tầng, giao thông, môi trường; ảnh hưởng đến chất lượng sống của người dân.</w:t>
            </w:r>
          </w:p>
          <w:p w:rsidR="00AC34F2" w:rsidRPr="00832524" w:rsidRDefault="00832524" w:rsidP="00A30210">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Không khai thác được cơ chế đặc thù của Luật Thủ đô</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Tạo cơ chế phân loại dự án rõ ràng, minh bạch; cho phép dự án đủ tiêu chí được ưu tiên xét duyệt nhanh và áp dụng cơ chế đặc biệt. Đẩy nhanh tiến độ dự án giao thông, hạ tầng kỹ thuật, xử lý điểm nghẽn đô thị cấp bách; cải thiện chất lượng sống của người dân Thủ đô.</w:t>
            </w:r>
          </w:p>
          <w:p w:rsidR="00AC34F2" w:rsidRPr="00832524" w:rsidRDefault="00832524" w:rsidP="00A30210">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Khai thác tối đa cơ chế đặc thù, đẩy nhanh dự án cấp bách</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center"/>
              <w:rPr>
                <w:color w:val="000000" w:themeColor="text1"/>
                <w:sz w:val="28"/>
                <w:szCs w:val="28"/>
              </w:rPr>
            </w:pPr>
            <w:r w:rsidRPr="00832524">
              <w:rPr>
                <w:color w:val="000000" w:themeColor="text1"/>
                <w:sz w:val="28"/>
                <w:szCs w:val="28"/>
              </w:rPr>
              <w:t>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both"/>
              <w:rPr>
                <w:color w:val="000000" w:themeColor="text1"/>
                <w:sz w:val="28"/>
                <w:szCs w:val="28"/>
              </w:rPr>
            </w:pPr>
            <w:r w:rsidRPr="00832524">
              <w:rPr>
                <w:b/>
                <w:bCs/>
                <w:color w:val="000000" w:themeColor="text1"/>
                <w:sz w:val="28"/>
                <w:szCs w:val="28"/>
              </w:rPr>
              <w:t>Tác động TTHC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Thủ tục không được rút gọn; kéo dài thời gian xử lý dự án cấp bách.</w:t>
            </w:r>
          </w:p>
          <w:p w:rsidR="00AC34F2" w:rsidRPr="00832524" w:rsidRDefault="00832524" w:rsidP="00A30210">
            <w:pPr>
              <w:spacing w:before="60"/>
              <w:jc w:val="both"/>
              <w:rPr>
                <w:color w:val="000000" w:themeColor="text1"/>
                <w:sz w:val="28"/>
                <w:szCs w:val="28"/>
              </w:rPr>
            </w:pPr>
            <w:r>
              <w:rPr>
                <w:color w:val="000000" w:themeColor="text1"/>
                <w:sz w:val="28"/>
                <w:szCs w:val="28"/>
                <w:lang w:val="vi-VN"/>
              </w:rPr>
              <w:lastRenderedPageBreak/>
              <w:t>*</w:t>
            </w:r>
            <w:r w:rsidRPr="00832524">
              <w:rPr>
                <w:color w:val="000000" w:themeColor="text1"/>
                <w:sz w:val="28"/>
                <w:szCs w:val="28"/>
              </w:rPr>
              <w:t xml:space="preserve"> Không cải thiện thủ tục đối với dự án cấp bách</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lastRenderedPageBreak/>
              <w:t xml:space="preserve">* </w:t>
            </w:r>
            <w:r w:rsidRPr="00832524">
              <w:rPr>
                <w:color w:val="000000" w:themeColor="text1"/>
                <w:sz w:val="28"/>
                <w:szCs w:val="28"/>
              </w:rPr>
              <w:t xml:space="preserve">Tính cấp thiết được đánh giá lồng ghép vào quá trình thẩm định CTĐT (không phát sinh thủ tục riêng). Kết quả ghi nhận trong báo cáo thẩm định và văn bản quyết </w:t>
            </w:r>
            <w:r w:rsidRPr="00832524">
              <w:rPr>
                <w:color w:val="000000" w:themeColor="text1"/>
                <w:sz w:val="28"/>
                <w:szCs w:val="28"/>
              </w:rPr>
              <w:lastRenderedPageBreak/>
              <w:t>định CTĐT. Không tăng gánh nặng hành chính.</w:t>
            </w:r>
          </w:p>
          <w:p w:rsidR="00AC34F2" w:rsidRPr="00832524" w:rsidRDefault="00832524" w:rsidP="00A30210">
            <w:pPr>
              <w:spacing w:before="60"/>
              <w:jc w:val="both"/>
              <w:rPr>
                <w:color w:val="000000" w:themeColor="text1"/>
                <w:sz w:val="28"/>
                <w:szCs w:val="28"/>
              </w:rPr>
            </w:pPr>
            <w:r>
              <w:rPr>
                <w:color w:val="000000" w:themeColor="text1"/>
                <w:sz w:val="28"/>
                <w:szCs w:val="28"/>
                <w:lang w:val="vi-VN"/>
              </w:rPr>
              <w:t>*</w:t>
            </w:r>
            <w:r w:rsidRPr="00832524">
              <w:rPr>
                <w:color w:val="000000" w:themeColor="text1"/>
                <w:sz w:val="28"/>
                <w:szCs w:val="28"/>
              </w:rPr>
              <w:t xml:space="preserve"> Tích hợp vào thẩm định CTĐT, không tăng gánh nặng hành chính</w:t>
            </w:r>
          </w:p>
        </w:tc>
      </w:tr>
      <w:tr w:rsidR="00832524" w:rsidRPr="00832524" w:rsidTr="00832524">
        <w:tc>
          <w:tcPr>
            <w:tcW w:w="792"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center"/>
              <w:rPr>
                <w:color w:val="000000" w:themeColor="text1"/>
                <w:sz w:val="28"/>
                <w:szCs w:val="28"/>
              </w:rPr>
            </w:pPr>
            <w:r w:rsidRPr="00832524">
              <w:rPr>
                <w:color w:val="000000" w:themeColor="text1"/>
                <w:sz w:val="28"/>
                <w:szCs w:val="28"/>
              </w:rPr>
              <w:lastRenderedPageBreak/>
              <w:t>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6B0E1E" w:rsidP="00A30210">
            <w:pPr>
              <w:spacing w:before="60"/>
              <w:jc w:val="both"/>
              <w:rPr>
                <w:color w:val="000000" w:themeColor="text1"/>
                <w:sz w:val="28"/>
                <w:szCs w:val="28"/>
              </w:rPr>
            </w:pPr>
            <w:r w:rsidRPr="00832524">
              <w:rPr>
                <w:b/>
                <w:bCs/>
                <w:color w:val="000000" w:themeColor="text1"/>
                <w:sz w:val="28"/>
                <w:szCs w:val="28"/>
              </w:rPr>
              <w:t>Tác động về giới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Không có tác động trực tiếp.</w:t>
            </w:r>
          </w:p>
        </w:tc>
        <w:tc>
          <w:tcPr>
            <w:tcW w:w="4069"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AC34F2" w:rsidRPr="00832524" w:rsidRDefault="00832524" w:rsidP="00A30210">
            <w:pPr>
              <w:spacing w:before="60"/>
              <w:jc w:val="both"/>
              <w:rPr>
                <w:color w:val="000000" w:themeColor="text1"/>
                <w:sz w:val="28"/>
                <w:szCs w:val="28"/>
              </w:rPr>
            </w:pPr>
            <w:r>
              <w:rPr>
                <w:color w:val="000000" w:themeColor="text1"/>
                <w:sz w:val="28"/>
                <w:szCs w:val="28"/>
                <w:lang w:val="vi-VN"/>
              </w:rPr>
              <w:t xml:space="preserve">* </w:t>
            </w:r>
            <w:r w:rsidRPr="00832524">
              <w:rPr>
                <w:color w:val="000000" w:themeColor="text1"/>
                <w:sz w:val="28"/>
                <w:szCs w:val="28"/>
              </w:rPr>
              <w:t>Các tiêu chí xác định dự án cần triển khai ngay mang tính kỹ thuật, áp dụng thống nhất; không có tác động tiêu cực về giới.</w:t>
            </w:r>
          </w:p>
        </w:tc>
      </w:tr>
    </w:tbl>
    <w:p w:rsidR="00AC34F2" w:rsidRPr="00544B79" w:rsidRDefault="006B0E1E" w:rsidP="00217013">
      <w:pPr>
        <w:spacing w:before="60"/>
        <w:ind w:firstLine="720"/>
        <w:jc w:val="both"/>
        <w:rPr>
          <w:sz w:val="28"/>
          <w:szCs w:val="28"/>
        </w:rPr>
      </w:pPr>
      <w:r w:rsidRPr="00544B79">
        <w:rPr>
          <w:b/>
          <w:bCs/>
          <w:color w:val="000000"/>
          <w:sz w:val="28"/>
          <w:szCs w:val="28"/>
        </w:rPr>
        <w:t>3.3. Giải pháp tối ưu được lựa chọn và lý do</w:t>
      </w:r>
    </w:p>
    <w:p w:rsidR="00AC34F2" w:rsidRPr="00544B79" w:rsidRDefault="006B0E1E" w:rsidP="00217013">
      <w:pPr>
        <w:spacing w:before="60"/>
        <w:ind w:firstLine="720"/>
        <w:jc w:val="both"/>
        <w:rPr>
          <w:sz w:val="28"/>
          <w:szCs w:val="28"/>
        </w:rPr>
      </w:pPr>
      <w:r w:rsidRPr="00544B79">
        <w:rPr>
          <w:color w:val="000000"/>
          <w:sz w:val="28"/>
          <w:szCs w:val="28"/>
        </w:rPr>
        <w:t>Giải pháp 2 được lựa chọn: Bắt buộc theo thẩm quyền Luật Thủ đô; không tạo thêm thủ tục hành chính riêng; có tác động kinh tế – xã hội tích cực rõ rệt trong đẩy nhanh tiến độ các dự án trọng điểm, giải quyết điểm nghẽn hạ tầng của Thủ đô trong giai đoạn 2026–2030. Cơ chế tích hợp đánh giá tính cấp thiết vào quá trình thẩm định CTĐT bảo đảm không phát sinh thủ tục hành chính mới, không làm tăng gánh nặng cho nhà đầu tư.</w:t>
      </w:r>
    </w:p>
    <w:p w:rsidR="00AC34F2" w:rsidRPr="00544B79" w:rsidRDefault="006B0E1E" w:rsidP="00217013">
      <w:pPr>
        <w:spacing w:before="60"/>
        <w:ind w:firstLine="709"/>
        <w:rPr>
          <w:sz w:val="28"/>
          <w:szCs w:val="28"/>
        </w:rPr>
      </w:pPr>
      <w:r w:rsidRPr="00544B79">
        <w:rPr>
          <w:b/>
          <w:bCs/>
          <w:color w:val="000000"/>
          <w:sz w:val="28"/>
          <w:szCs w:val="28"/>
        </w:rPr>
        <w:t>III. ĐÁNH GIÁ TỔNG HỢP VÀ LỰA CHỌN PHƯƠNG ÁN</w:t>
      </w:r>
    </w:p>
    <w:p w:rsidR="00AC34F2" w:rsidRPr="00544B79" w:rsidRDefault="006B0E1E" w:rsidP="00217013">
      <w:pPr>
        <w:spacing w:before="60"/>
        <w:ind w:firstLine="709"/>
        <w:jc w:val="both"/>
        <w:rPr>
          <w:sz w:val="28"/>
          <w:szCs w:val="28"/>
        </w:rPr>
      </w:pPr>
      <w:r w:rsidRPr="00544B79">
        <w:rPr>
          <w:color w:val="000000"/>
          <w:sz w:val="28"/>
          <w:szCs w:val="28"/>
        </w:rPr>
        <w:t>Trên cơ sở đánh giá tác động ba nhóm chính sách nêu trên, Sở Tài chính thành phố Hà Nội kết luận: Việc ban hành Nghị quyết HĐND thành phố Hà N</w:t>
      </w:r>
      <w:r w:rsidR="000E17C4">
        <w:rPr>
          <w:color w:val="000000"/>
          <w:sz w:val="28"/>
          <w:szCs w:val="28"/>
        </w:rPr>
        <w:t>ội quy định chi tiết điểm a,b,</w:t>
      </w:r>
      <w:r w:rsidRPr="00544B79">
        <w:rPr>
          <w:color w:val="000000"/>
          <w:sz w:val="28"/>
          <w:szCs w:val="28"/>
        </w:rPr>
        <w:t xml:space="preserve">d khoản 5 Điều 22 Luật Thủ đô năm 2026 là </w:t>
      </w:r>
      <w:r w:rsidR="00832524" w:rsidRPr="00544B79">
        <w:rPr>
          <w:color w:val="000000"/>
          <w:sz w:val="28"/>
          <w:szCs w:val="28"/>
        </w:rPr>
        <w:t>phương án tối ưu</w:t>
      </w:r>
      <w:r w:rsidRPr="00544B79">
        <w:rPr>
          <w:color w:val="000000"/>
          <w:sz w:val="28"/>
          <w:szCs w:val="28"/>
        </w:rPr>
        <w:t xml:space="preserve"> với lý do tổng hợp:</w:t>
      </w:r>
    </w:p>
    <w:p w:rsidR="00AC34F2" w:rsidRPr="00544B79" w:rsidRDefault="006B0E1E" w:rsidP="00217013">
      <w:pPr>
        <w:spacing w:before="60"/>
        <w:ind w:firstLine="709"/>
        <w:jc w:val="both"/>
        <w:rPr>
          <w:sz w:val="28"/>
          <w:szCs w:val="28"/>
        </w:rPr>
      </w:pPr>
      <w:r w:rsidRPr="00544B79">
        <w:rPr>
          <w:color w:val="000000"/>
          <w:sz w:val="28"/>
          <w:szCs w:val="28"/>
        </w:rPr>
        <w:t>- Về tính hợp pháp: Đây là nghĩa vụ pháp lý bắt buộc được giao trực tiếp tại Luật Thủ đô và được xác định trong Kế hoạch số 177/KH-UBND ngày 01/5/2026 của UBND Thành phố. Không ban hành là vi phạm Luật Thủ đô.</w:t>
      </w:r>
    </w:p>
    <w:p w:rsidR="00AC34F2" w:rsidRPr="00544B79" w:rsidRDefault="006B0E1E" w:rsidP="00217013">
      <w:pPr>
        <w:spacing w:before="60"/>
        <w:ind w:firstLine="709"/>
        <w:jc w:val="both"/>
        <w:rPr>
          <w:sz w:val="28"/>
          <w:szCs w:val="28"/>
        </w:rPr>
      </w:pPr>
      <w:r w:rsidRPr="00544B79">
        <w:rPr>
          <w:color w:val="000000"/>
          <w:sz w:val="28"/>
          <w:szCs w:val="28"/>
        </w:rPr>
        <w:t>- Về tính cần thiết: Lấp đầy khoảng trống pháp lý từ ngày 01/7/2026, bảo đảm tính liên tục trong quản lý đầu tư; không có phương án nào khác đáp ứng được yêu cầu này ngoài việc ban hành Nghị quyết.</w:t>
      </w:r>
    </w:p>
    <w:p w:rsidR="00AC34F2" w:rsidRPr="00544B79" w:rsidRDefault="006B0E1E" w:rsidP="00217013">
      <w:pPr>
        <w:spacing w:before="60"/>
        <w:ind w:firstLine="709"/>
        <w:jc w:val="both"/>
        <w:rPr>
          <w:sz w:val="28"/>
          <w:szCs w:val="28"/>
        </w:rPr>
      </w:pPr>
      <w:r w:rsidRPr="00544B79">
        <w:rPr>
          <w:color w:val="000000"/>
          <w:sz w:val="28"/>
          <w:szCs w:val="28"/>
        </w:rPr>
        <w:t>- Về tác động tích cực: Cả 03 nhóm chính sách đều cho thấy lợi ích kinh tế – xã hội vượt trội so với phương án không ban hành: rút ngắn thời gian thẩm định, giảm chi phí tuân thủ, tăng tính minh bạch, thúc đẩy thu hút đầu tư, đặc biệt là nhà đầu tư chiến lược trong các lĩnh vực công nghệ cao, đổi mới sáng tạo.</w:t>
      </w:r>
    </w:p>
    <w:p w:rsidR="00AC34F2" w:rsidRPr="00544B79" w:rsidRDefault="006B0E1E" w:rsidP="00217013">
      <w:pPr>
        <w:spacing w:before="60"/>
        <w:ind w:firstLine="709"/>
        <w:jc w:val="both"/>
        <w:rPr>
          <w:sz w:val="28"/>
          <w:szCs w:val="28"/>
        </w:rPr>
      </w:pPr>
      <w:r w:rsidRPr="00544B79">
        <w:rPr>
          <w:color w:val="000000"/>
          <w:sz w:val="28"/>
          <w:szCs w:val="28"/>
        </w:rPr>
        <w:t>- Về tính khả thi: Xây dựng trên nền tảng kinh nghiệm thực tiễn từ Nghị quyết 31/2025/NQ-HĐND; phù hợp với năng lực bộ máy tổ chức hiện có; không phát sinh chi phí ngân sách lớn; được các sở, ngành liên quan đồng thuận.</w:t>
      </w:r>
    </w:p>
    <w:p w:rsidR="00AC34F2" w:rsidRPr="00544B79" w:rsidRDefault="006B0E1E" w:rsidP="00217013">
      <w:pPr>
        <w:spacing w:before="60"/>
        <w:ind w:firstLine="709"/>
        <w:jc w:val="both"/>
        <w:rPr>
          <w:sz w:val="28"/>
          <w:szCs w:val="28"/>
        </w:rPr>
      </w:pPr>
      <w:r w:rsidRPr="00544B79">
        <w:rPr>
          <w:color w:val="000000"/>
          <w:sz w:val="28"/>
          <w:szCs w:val="28"/>
        </w:rPr>
        <w:t>- Về bình đẳng giới và chính sách dân tộc: Các quy định của dự thảo Nghị quyết áp dụng bình đẳng, không phân biệt giới tính, dân tộc, thành phần kinh tế; không tạo rào cản trong tiếp cận thủ tục hành chính về đầu tư; phù hợp với Luật Bình đẳng giới và các cam kết quốc tế của Việt Nam.</w:t>
      </w:r>
    </w:p>
    <w:p w:rsidR="00AC34F2" w:rsidRPr="00544B79" w:rsidRDefault="006B0E1E" w:rsidP="00217013">
      <w:pPr>
        <w:spacing w:before="60"/>
        <w:ind w:firstLine="709"/>
        <w:jc w:val="both"/>
        <w:rPr>
          <w:sz w:val="28"/>
          <w:szCs w:val="28"/>
        </w:rPr>
      </w:pPr>
      <w:r w:rsidRPr="00544B79">
        <w:rPr>
          <w:color w:val="000000"/>
          <w:sz w:val="28"/>
          <w:szCs w:val="28"/>
        </w:rPr>
        <w:lastRenderedPageBreak/>
        <w:t>- Về ứng dụng khoa học công nghệ, chuyển đổi số: Dự thảo Nghị quyết quy định cho phép nộp hồ sơ qua môi trường điện tử; áp dụng hệ thống thông tin quản lý đầu tư; hướng tới xử lý thủ tục hoàn toàn trực tuyến trong giai đoạn tiếp theo, phù hợp với Chương trình chuyển đổi số quốc gia và của Thành phố.</w:t>
      </w:r>
    </w:p>
    <w:p w:rsidR="00AC34F2" w:rsidRPr="00544B79" w:rsidRDefault="006B0E1E" w:rsidP="00217013">
      <w:pPr>
        <w:spacing w:before="60"/>
        <w:ind w:firstLine="709"/>
        <w:rPr>
          <w:sz w:val="28"/>
          <w:szCs w:val="28"/>
        </w:rPr>
      </w:pPr>
      <w:r w:rsidRPr="00544B79">
        <w:rPr>
          <w:b/>
          <w:bCs/>
          <w:color w:val="000000"/>
          <w:sz w:val="28"/>
          <w:szCs w:val="28"/>
        </w:rPr>
        <w:t>IV. KẾT LUẬN VÀ KIẾN NGHỊ</w:t>
      </w:r>
    </w:p>
    <w:p w:rsidR="00AC34F2" w:rsidRPr="00544B79" w:rsidRDefault="006B0E1E" w:rsidP="00217013">
      <w:pPr>
        <w:spacing w:before="60"/>
        <w:ind w:firstLine="709"/>
        <w:jc w:val="both"/>
        <w:rPr>
          <w:sz w:val="28"/>
          <w:szCs w:val="28"/>
        </w:rPr>
      </w:pPr>
      <w:r w:rsidRPr="00544B79">
        <w:rPr>
          <w:color w:val="000000"/>
          <w:sz w:val="28"/>
          <w:szCs w:val="28"/>
        </w:rPr>
        <w:t xml:space="preserve">Sở Tài chính thành phố Hà Nội kính trình UBND Thành phố xem xét, báo cáo HĐND Thành phố thông qua Nghị quyết quy định về </w:t>
      </w:r>
      <w:r w:rsidR="000E17C4" w:rsidRPr="000E17C4">
        <w:rPr>
          <w:color w:val="000000"/>
          <w:sz w:val="28"/>
          <w:szCs w:val="28"/>
        </w:rPr>
        <w:t>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r w:rsidRPr="00544B79">
        <w:rPr>
          <w:color w:val="000000"/>
          <w:sz w:val="28"/>
          <w:szCs w:val="28"/>
        </w:rPr>
        <w:t>.</w:t>
      </w:r>
    </w:p>
    <w:p w:rsidR="00AC34F2" w:rsidRPr="00544B79" w:rsidRDefault="006B0E1E" w:rsidP="00217013">
      <w:pPr>
        <w:spacing w:before="60"/>
        <w:ind w:firstLine="709"/>
        <w:jc w:val="both"/>
        <w:rPr>
          <w:sz w:val="28"/>
          <w:szCs w:val="28"/>
        </w:rPr>
      </w:pPr>
      <w:r w:rsidRPr="00544B79">
        <w:rPr>
          <w:color w:val="000000"/>
          <w:sz w:val="28"/>
          <w:szCs w:val="28"/>
        </w:rPr>
        <w:t>Để bảo đảm Nghị quyết sau khi được ban hành được triển khai hiệu quả, Sở Tài chính kiến nghị lưu ý một số nội dung sau:</w:t>
      </w:r>
    </w:p>
    <w:p w:rsidR="00AC34F2" w:rsidRPr="00544B79" w:rsidRDefault="006B0E1E" w:rsidP="00217013">
      <w:pPr>
        <w:spacing w:before="60"/>
        <w:ind w:firstLine="709"/>
        <w:jc w:val="both"/>
        <w:rPr>
          <w:sz w:val="28"/>
          <w:szCs w:val="28"/>
        </w:rPr>
      </w:pPr>
      <w:r w:rsidRPr="00544B79">
        <w:rPr>
          <w:color w:val="000000"/>
          <w:sz w:val="28"/>
          <w:szCs w:val="28"/>
        </w:rPr>
        <w:t>- Sớm xây dựng và ban hành quy trình nội bộ thống nhất trong tiếp nhận, thẩm định và xử lý hồ sơ, bảo đảm rõ trách nhiệm, rõ thời hạn; hướng dẫn các đơn vị chuẩn bị đầu tư về thành phần hồ sơ theo từng loại dự án.</w:t>
      </w:r>
    </w:p>
    <w:p w:rsidR="00AC34F2" w:rsidRPr="00544B79" w:rsidRDefault="006B0E1E" w:rsidP="00217013">
      <w:pPr>
        <w:spacing w:before="60"/>
        <w:ind w:firstLine="709"/>
        <w:jc w:val="both"/>
        <w:rPr>
          <w:sz w:val="28"/>
          <w:szCs w:val="28"/>
        </w:rPr>
      </w:pPr>
      <w:r w:rsidRPr="00544B79">
        <w:rPr>
          <w:color w:val="000000"/>
          <w:sz w:val="28"/>
          <w:szCs w:val="28"/>
        </w:rPr>
        <w:t>- Đẩy mạnh ứng dụng công nghệ thông tin, chuyển đổi số trong toàn bộ quy trình giải quyết thủ tục đầu tư; hướng tới thực hiện đồng bộ trên môi trường điện tử, nâng cao tính công khai, minh bạch và khả năng giám sát.</w:t>
      </w:r>
    </w:p>
    <w:p w:rsidR="00AC34F2" w:rsidRPr="00544B79" w:rsidRDefault="006B0E1E" w:rsidP="00217013">
      <w:pPr>
        <w:spacing w:before="60"/>
        <w:ind w:firstLine="709"/>
        <w:jc w:val="both"/>
        <w:rPr>
          <w:sz w:val="28"/>
          <w:szCs w:val="28"/>
        </w:rPr>
      </w:pPr>
      <w:r w:rsidRPr="00544B79">
        <w:rPr>
          <w:color w:val="000000"/>
          <w:sz w:val="28"/>
          <w:szCs w:val="28"/>
        </w:rPr>
        <w:t>- Tăng cường đào tạo, bồi dưỡng, nâng cao năng lực đội ngũ cán bộ, công chức làm công tác thẩm định, quản lý đầu tư, đáp ứng yêu cầu cải cách và phân cấp trong giai đoạn mới.</w:t>
      </w:r>
    </w:p>
    <w:p w:rsidR="00AC34F2" w:rsidRPr="00544B79" w:rsidRDefault="006B0E1E" w:rsidP="00217013">
      <w:pPr>
        <w:spacing w:before="60"/>
        <w:ind w:firstLine="709"/>
        <w:jc w:val="both"/>
        <w:rPr>
          <w:sz w:val="28"/>
          <w:szCs w:val="28"/>
        </w:rPr>
      </w:pPr>
      <w:r w:rsidRPr="00544B79">
        <w:rPr>
          <w:color w:val="000000"/>
          <w:sz w:val="28"/>
          <w:szCs w:val="28"/>
        </w:rPr>
        <w:t>- Tiếp tục rà soát, đơn giản hóa thủ tục hành chính, kịp thời sửa đổi, bổ sung các quy định chưa phù hợp, nhằm tạo môi trường đầu tư thông thoáng, thuận lợi, nâng cao năng lực cạnh tranh của Thành phố.</w:t>
      </w:r>
    </w:p>
    <w:p w:rsidR="00AC34F2" w:rsidRPr="00544B79" w:rsidRDefault="006B0E1E" w:rsidP="00217013">
      <w:pPr>
        <w:spacing w:before="60"/>
        <w:ind w:firstLine="709"/>
        <w:jc w:val="both"/>
        <w:rPr>
          <w:sz w:val="28"/>
          <w:szCs w:val="28"/>
        </w:rPr>
      </w:pPr>
      <w:r w:rsidRPr="00544B79">
        <w:rPr>
          <w:b/>
          <w:bCs/>
          <w:color w:val="000000"/>
          <w:sz w:val="28"/>
          <w:szCs w:val="28"/>
        </w:rPr>
        <w:t>Báo cáo kèm theo:</w:t>
      </w:r>
    </w:p>
    <w:p w:rsidR="00AC34F2" w:rsidRPr="00544B79" w:rsidRDefault="006B0E1E" w:rsidP="00217013">
      <w:pPr>
        <w:spacing w:before="60"/>
        <w:ind w:firstLine="709"/>
        <w:jc w:val="both"/>
        <w:rPr>
          <w:sz w:val="28"/>
          <w:szCs w:val="28"/>
        </w:rPr>
      </w:pPr>
      <w:r w:rsidRPr="00544B79">
        <w:rPr>
          <w:color w:val="000000"/>
          <w:sz w:val="28"/>
          <w:szCs w:val="28"/>
        </w:rPr>
        <w:t>- Bản đánh giá thủ tục hành chính, việc phân quyền, phân cấp, việc ứng dụng thúc đẩy phát triển khoa học, công nghệ, đổi mới sáng tạo và chuyển đổi số, bảo đảm bình đẳng giới, việc thực hiện chính sách dân tộc (kèm theo).</w:t>
      </w:r>
    </w:p>
    <w:p w:rsidR="00AC34F2" w:rsidRPr="00544B79" w:rsidRDefault="006B0E1E" w:rsidP="00217013">
      <w:pPr>
        <w:spacing w:before="60"/>
        <w:ind w:firstLine="709"/>
        <w:jc w:val="both"/>
        <w:rPr>
          <w:sz w:val="28"/>
          <w:szCs w:val="28"/>
        </w:rPr>
      </w:pPr>
      <w:r w:rsidRPr="00544B79">
        <w:rPr>
          <w:color w:val="000000"/>
          <w:sz w:val="28"/>
          <w:szCs w:val="28"/>
        </w:rPr>
        <w:t>- Phụ lục 1 – Biểu mẫu đánh giá tác động của thủ tục hành chính được quy định chi tiết hoặc được sửa đổi, bổ sung trong dự thảo văn bản (Biểu mẫu số 03/ĐGTĐ-QĐCT/SĐBS).</w:t>
      </w:r>
    </w:p>
    <w:p w:rsidR="00AC34F2" w:rsidRPr="00B2423F" w:rsidRDefault="006B0E1E" w:rsidP="00217013">
      <w:pPr>
        <w:spacing w:before="60"/>
        <w:ind w:firstLine="709"/>
        <w:jc w:val="both"/>
        <w:rPr>
          <w:color w:val="000000"/>
          <w:sz w:val="28"/>
          <w:szCs w:val="28"/>
        </w:rPr>
      </w:pPr>
      <w:r w:rsidRPr="00544B79">
        <w:rPr>
          <w:color w:val="000000"/>
          <w:sz w:val="28"/>
          <w:szCs w:val="28"/>
        </w:rPr>
        <w:t>- Phụ lục 2 – Chi phí tuân thủ thủ tục hành chính trong dự thảo văn bản (Biểu mẫu số 04/ĐGTĐ-SCM).</w:t>
      </w:r>
      <w:r w:rsidR="00B2423F">
        <w:rPr>
          <w:color w:val="000000"/>
          <w:sz w:val="28"/>
          <w:szCs w:val="28"/>
        </w:rPr>
        <w:t>/.</w:t>
      </w:r>
    </w:p>
    <w:p w:rsidR="00B2423F" w:rsidRPr="00A14DD2" w:rsidRDefault="00B2423F" w:rsidP="00A14DD2">
      <w:pPr>
        <w:spacing w:before="60"/>
        <w:ind w:firstLine="709"/>
        <w:jc w:val="both"/>
        <w:rPr>
          <w:sz w:val="28"/>
          <w:szCs w:val="28"/>
          <w:lang w:val="vi-VN"/>
        </w:rPr>
      </w:pPr>
    </w:p>
    <w:tbl>
      <w:tblPr>
        <w:tblW w:w="9026" w:type="dxa"/>
        <w:tblBorders>
          <w:top w:val="nil"/>
          <w:left w:val="nil"/>
          <w:bottom w:val="nil"/>
          <w:right w:val="nil"/>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4826"/>
      </w:tblGrid>
      <w:tr w:rsidR="00AC34F2">
        <w:tc>
          <w:tcPr>
            <w:tcW w:w="4200" w:type="dxa"/>
            <w:tcBorders>
              <w:top w:val="nil"/>
              <w:left w:val="nil"/>
              <w:bottom w:val="nil"/>
              <w:right w:val="nil"/>
            </w:tcBorders>
          </w:tcPr>
          <w:p w:rsidR="00AC34F2" w:rsidRPr="00832524" w:rsidRDefault="006B0E1E" w:rsidP="00832524">
            <w:pPr>
              <w:jc w:val="both"/>
              <w:rPr>
                <w:i/>
                <w:iCs/>
              </w:rPr>
            </w:pPr>
            <w:r w:rsidRPr="00832524">
              <w:rPr>
                <w:b/>
                <w:bCs/>
                <w:i/>
                <w:iCs/>
                <w:color w:val="000000"/>
                <w:sz w:val="24"/>
                <w:szCs w:val="24"/>
              </w:rPr>
              <w:t>Nơi nhận:</w:t>
            </w:r>
          </w:p>
          <w:p w:rsidR="00832524" w:rsidRPr="00DE2B15" w:rsidRDefault="00832524" w:rsidP="00832524">
            <w:pPr>
              <w:rPr>
                <w:sz w:val="24"/>
                <w:szCs w:val="24"/>
              </w:rPr>
            </w:pPr>
            <w:r w:rsidRPr="00DE2B15">
              <w:rPr>
                <w:sz w:val="24"/>
                <w:szCs w:val="24"/>
              </w:rPr>
              <w:t>- Như trên;</w:t>
            </w:r>
          </w:p>
          <w:p w:rsidR="00832524" w:rsidRPr="00DE2B15" w:rsidRDefault="00832524" w:rsidP="00832524">
            <w:pPr>
              <w:rPr>
                <w:sz w:val="24"/>
                <w:szCs w:val="24"/>
              </w:rPr>
            </w:pPr>
            <w:r w:rsidRPr="00DE2B15">
              <w:rPr>
                <w:sz w:val="24"/>
                <w:szCs w:val="24"/>
              </w:rPr>
              <w:t>- HĐND thành phố Hà Nội;</w:t>
            </w:r>
          </w:p>
          <w:p w:rsidR="00AC34F2" w:rsidRDefault="00832524" w:rsidP="00832524">
            <w:pPr>
              <w:jc w:val="both"/>
            </w:pPr>
            <w:r w:rsidRPr="00DE2B15">
              <w:rPr>
                <w:sz w:val="24"/>
                <w:szCs w:val="24"/>
              </w:rPr>
              <w:t>- Lưu: VT, STC.</w:t>
            </w:r>
          </w:p>
        </w:tc>
        <w:tc>
          <w:tcPr>
            <w:tcW w:w="4826" w:type="dxa"/>
            <w:tcBorders>
              <w:top w:val="nil"/>
              <w:left w:val="nil"/>
              <w:bottom w:val="nil"/>
              <w:right w:val="nil"/>
            </w:tcBorders>
          </w:tcPr>
          <w:p w:rsidR="00AC34F2" w:rsidRPr="00832524" w:rsidRDefault="006B0E1E" w:rsidP="00832524">
            <w:pPr>
              <w:jc w:val="center"/>
              <w:rPr>
                <w:sz w:val="28"/>
                <w:szCs w:val="28"/>
              </w:rPr>
            </w:pPr>
            <w:r w:rsidRPr="00832524">
              <w:rPr>
                <w:b/>
                <w:bCs/>
                <w:color w:val="000000"/>
                <w:sz w:val="28"/>
                <w:szCs w:val="28"/>
              </w:rPr>
              <w:t>KT. GIÁM ĐỐC</w:t>
            </w:r>
          </w:p>
          <w:p w:rsidR="00AC34F2" w:rsidRPr="00832524" w:rsidRDefault="006B0E1E" w:rsidP="00832524">
            <w:pPr>
              <w:jc w:val="center"/>
              <w:rPr>
                <w:sz w:val="28"/>
                <w:szCs w:val="28"/>
              </w:rPr>
            </w:pPr>
            <w:r w:rsidRPr="00832524">
              <w:rPr>
                <w:b/>
                <w:bCs/>
                <w:color w:val="000000"/>
                <w:sz w:val="28"/>
                <w:szCs w:val="28"/>
              </w:rPr>
              <w:t>PHÓ GIÁM ĐỐC</w:t>
            </w:r>
          </w:p>
          <w:p w:rsidR="00AC34F2" w:rsidRPr="00832524" w:rsidRDefault="00AC34F2" w:rsidP="00832524">
            <w:pPr>
              <w:jc w:val="both"/>
              <w:rPr>
                <w:sz w:val="28"/>
                <w:szCs w:val="28"/>
              </w:rPr>
            </w:pPr>
          </w:p>
          <w:p w:rsidR="00832524" w:rsidRPr="00832524" w:rsidRDefault="00832524" w:rsidP="00832524">
            <w:pPr>
              <w:jc w:val="both"/>
              <w:rPr>
                <w:sz w:val="28"/>
                <w:szCs w:val="28"/>
              </w:rPr>
            </w:pPr>
          </w:p>
          <w:p w:rsidR="00832524" w:rsidRPr="00832524" w:rsidRDefault="00832524" w:rsidP="00832524">
            <w:pPr>
              <w:jc w:val="both"/>
              <w:rPr>
                <w:sz w:val="28"/>
                <w:szCs w:val="28"/>
              </w:rPr>
            </w:pPr>
          </w:p>
          <w:p w:rsidR="00832524" w:rsidRPr="00832524" w:rsidRDefault="00832524" w:rsidP="00832524">
            <w:pPr>
              <w:jc w:val="both"/>
              <w:rPr>
                <w:sz w:val="28"/>
                <w:szCs w:val="28"/>
              </w:rPr>
            </w:pPr>
          </w:p>
          <w:p w:rsidR="00AC34F2" w:rsidRPr="00832524" w:rsidRDefault="006B0E1E" w:rsidP="00832524">
            <w:pPr>
              <w:jc w:val="center"/>
              <w:rPr>
                <w:sz w:val="28"/>
                <w:szCs w:val="28"/>
              </w:rPr>
            </w:pPr>
            <w:r w:rsidRPr="00832524">
              <w:rPr>
                <w:b/>
                <w:bCs/>
                <w:color w:val="000000"/>
                <w:sz w:val="28"/>
                <w:szCs w:val="28"/>
              </w:rPr>
              <w:t>Vũ Duy Tuấn</w:t>
            </w:r>
          </w:p>
        </w:tc>
      </w:tr>
    </w:tbl>
    <w:p w:rsidR="003F016C" w:rsidRDefault="003F016C" w:rsidP="005A3B78"/>
    <w:sectPr w:rsidR="003F016C" w:rsidSect="00297ACF">
      <w:headerReference w:type="default" r:id="rId7"/>
      <w:pgSz w:w="11906" w:h="16838"/>
      <w:pgMar w:top="1134" w:right="1134"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92" w:rsidRDefault="00140D92" w:rsidP="00297ACF">
      <w:r>
        <w:separator/>
      </w:r>
    </w:p>
  </w:endnote>
  <w:endnote w:type="continuationSeparator" w:id="0">
    <w:p w:rsidR="00140D92" w:rsidRDefault="00140D92" w:rsidP="0029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92" w:rsidRDefault="00140D92" w:rsidP="00297ACF">
      <w:r>
        <w:separator/>
      </w:r>
    </w:p>
  </w:footnote>
  <w:footnote w:type="continuationSeparator" w:id="0">
    <w:p w:rsidR="00140D92" w:rsidRDefault="00140D92" w:rsidP="00297A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32011"/>
      <w:docPartObj>
        <w:docPartGallery w:val="Page Numbers (Top of Page)"/>
        <w:docPartUnique/>
      </w:docPartObj>
    </w:sdtPr>
    <w:sdtEndPr>
      <w:rPr>
        <w:noProof/>
      </w:rPr>
    </w:sdtEndPr>
    <w:sdtContent>
      <w:p w:rsidR="00297ACF" w:rsidRDefault="00297ACF">
        <w:pPr>
          <w:pStyle w:val="Header"/>
          <w:jc w:val="center"/>
        </w:pPr>
        <w:r>
          <w:fldChar w:fldCharType="begin"/>
        </w:r>
        <w:r>
          <w:instrText xml:space="preserve"> PAGE   \* MERGEFORMAT </w:instrText>
        </w:r>
        <w:r>
          <w:fldChar w:fldCharType="separate"/>
        </w:r>
        <w:r w:rsidR="008E0417">
          <w:rPr>
            <w:noProof/>
          </w:rPr>
          <w:t>9</w:t>
        </w:r>
        <w:r>
          <w:rPr>
            <w:noProof/>
          </w:rPr>
          <w:fldChar w:fldCharType="end"/>
        </w:r>
      </w:p>
    </w:sdtContent>
  </w:sdt>
  <w:p w:rsidR="00297ACF" w:rsidRDefault="00297A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82887"/>
    <w:multiLevelType w:val="hybridMultilevel"/>
    <w:tmpl w:val="06F43954"/>
    <w:lvl w:ilvl="0" w:tplc="B4FE192C">
      <w:start w:val="1"/>
      <w:numFmt w:val="bullet"/>
      <w:lvlText w:val="●"/>
      <w:lvlJc w:val="left"/>
      <w:pPr>
        <w:ind w:left="720" w:hanging="360"/>
      </w:pPr>
    </w:lvl>
    <w:lvl w:ilvl="1" w:tplc="EAC413EC">
      <w:start w:val="1"/>
      <w:numFmt w:val="bullet"/>
      <w:lvlText w:val="○"/>
      <w:lvlJc w:val="left"/>
      <w:pPr>
        <w:ind w:left="1440" w:hanging="360"/>
      </w:pPr>
    </w:lvl>
    <w:lvl w:ilvl="2" w:tplc="C9EE574C">
      <w:start w:val="1"/>
      <w:numFmt w:val="bullet"/>
      <w:lvlText w:val="■"/>
      <w:lvlJc w:val="left"/>
      <w:pPr>
        <w:ind w:left="2160" w:hanging="360"/>
      </w:pPr>
    </w:lvl>
    <w:lvl w:ilvl="3" w:tplc="6108DBC8">
      <w:start w:val="1"/>
      <w:numFmt w:val="bullet"/>
      <w:lvlText w:val="●"/>
      <w:lvlJc w:val="left"/>
      <w:pPr>
        <w:ind w:left="2880" w:hanging="360"/>
      </w:pPr>
    </w:lvl>
    <w:lvl w:ilvl="4" w:tplc="10BEACCA">
      <w:start w:val="1"/>
      <w:numFmt w:val="bullet"/>
      <w:lvlText w:val="○"/>
      <w:lvlJc w:val="left"/>
      <w:pPr>
        <w:ind w:left="3600" w:hanging="360"/>
      </w:pPr>
    </w:lvl>
    <w:lvl w:ilvl="5" w:tplc="4914FA66">
      <w:start w:val="1"/>
      <w:numFmt w:val="bullet"/>
      <w:lvlText w:val="■"/>
      <w:lvlJc w:val="left"/>
      <w:pPr>
        <w:ind w:left="4320" w:hanging="360"/>
      </w:pPr>
    </w:lvl>
    <w:lvl w:ilvl="6" w:tplc="9E0CABA0">
      <w:start w:val="1"/>
      <w:numFmt w:val="bullet"/>
      <w:lvlText w:val="●"/>
      <w:lvlJc w:val="left"/>
      <w:pPr>
        <w:ind w:left="5040" w:hanging="360"/>
      </w:pPr>
    </w:lvl>
    <w:lvl w:ilvl="7" w:tplc="874E3BD2">
      <w:start w:val="1"/>
      <w:numFmt w:val="bullet"/>
      <w:lvlText w:val="●"/>
      <w:lvlJc w:val="left"/>
      <w:pPr>
        <w:ind w:left="5760" w:hanging="360"/>
      </w:pPr>
    </w:lvl>
    <w:lvl w:ilvl="8" w:tplc="39CA589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F2"/>
    <w:rsid w:val="0000427B"/>
    <w:rsid w:val="000E0B5F"/>
    <w:rsid w:val="000E17C4"/>
    <w:rsid w:val="00140D92"/>
    <w:rsid w:val="00217013"/>
    <w:rsid w:val="00297ACF"/>
    <w:rsid w:val="003C0D7A"/>
    <w:rsid w:val="003F016C"/>
    <w:rsid w:val="005158DA"/>
    <w:rsid w:val="00544B79"/>
    <w:rsid w:val="005451C7"/>
    <w:rsid w:val="00552532"/>
    <w:rsid w:val="005A3B78"/>
    <w:rsid w:val="0067247D"/>
    <w:rsid w:val="006B0E1E"/>
    <w:rsid w:val="006B5B80"/>
    <w:rsid w:val="006F7EFC"/>
    <w:rsid w:val="0076418E"/>
    <w:rsid w:val="007725FB"/>
    <w:rsid w:val="007E6B63"/>
    <w:rsid w:val="008069B6"/>
    <w:rsid w:val="00832524"/>
    <w:rsid w:val="008E0417"/>
    <w:rsid w:val="009708FA"/>
    <w:rsid w:val="00A0427A"/>
    <w:rsid w:val="00A14DD2"/>
    <w:rsid w:val="00A2229F"/>
    <w:rsid w:val="00A30210"/>
    <w:rsid w:val="00AC34F2"/>
    <w:rsid w:val="00B2423F"/>
    <w:rsid w:val="00B425CC"/>
    <w:rsid w:val="00B60251"/>
    <w:rsid w:val="00E87593"/>
    <w:rsid w:val="00EE51E4"/>
    <w:rsid w:val="00F17BB2"/>
    <w:rsid w:val="00F6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AF61E-3EE8-8A4A-9B89-BC83EECF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97ACF"/>
    <w:pPr>
      <w:tabs>
        <w:tab w:val="center" w:pos="4680"/>
        <w:tab w:val="right" w:pos="9360"/>
      </w:tabs>
    </w:pPr>
  </w:style>
  <w:style w:type="character" w:customStyle="1" w:styleId="HeaderChar">
    <w:name w:val="Header Char"/>
    <w:basedOn w:val="DefaultParagraphFont"/>
    <w:link w:val="Header"/>
    <w:uiPriority w:val="99"/>
    <w:rsid w:val="00297ACF"/>
  </w:style>
  <w:style w:type="paragraph" w:styleId="Footer">
    <w:name w:val="footer"/>
    <w:basedOn w:val="Normal"/>
    <w:link w:val="FooterChar"/>
    <w:uiPriority w:val="99"/>
    <w:unhideWhenUsed/>
    <w:rsid w:val="00297ACF"/>
    <w:pPr>
      <w:tabs>
        <w:tab w:val="center" w:pos="4680"/>
        <w:tab w:val="right" w:pos="9360"/>
      </w:tabs>
    </w:pPr>
  </w:style>
  <w:style w:type="character" w:customStyle="1" w:styleId="FooterChar">
    <w:name w:val="Footer Char"/>
    <w:basedOn w:val="DefaultParagraphFont"/>
    <w:link w:val="Footer"/>
    <w:uiPriority w:val="99"/>
    <w:rsid w:val="00297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cp:lastModifiedBy>
  <cp:revision>2</cp:revision>
  <dcterms:created xsi:type="dcterms:W3CDTF">2026-05-28T03:20:00Z</dcterms:created>
  <dcterms:modified xsi:type="dcterms:W3CDTF">2026-05-28T03:20:00Z</dcterms:modified>
</cp:coreProperties>
</file>